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F8621" w14:textId="77777777" w:rsidR="00B72CAB" w:rsidRDefault="00B72CAB">
      <w:pPr>
        <w:pStyle w:val="Title"/>
        <w:rPr>
          <w:rFonts w:ascii="Lato" w:hAnsi="Lato"/>
          <w:color w:val="auto"/>
        </w:rPr>
      </w:pPr>
    </w:p>
    <w:p w14:paraId="30295DE1" w14:textId="77777777" w:rsidR="00B72CAB" w:rsidRDefault="00B72CAB">
      <w:pPr>
        <w:pStyle w:val="Title"/>
        <w:rPr>
          <w:rFonts w:ascii="Lato" w:hAnsi="Lato"/>
          <w:color w:val="auto"/>
        </w:rPr>
      </w:pPr>
    </w:p>
    <w:p w14:paraId="3E035BED" w14:textId="77777777" w:rsidR="009720FE" w:rsidRDefault="009720FE">
      <w:pPr>
        <w:pStyle w:val="Title"/>
        <w:rPr>
          <w:rFonts w:ascii="Lato" w:hAnsi="Lato"/>
          <w:color w:val="auto"/>
        </w:rPr>
      </w:pPr>
      <w:r w:rsidRPr="009720FE">
        <w:rPr>
          <w:rFonts w:ascii="Lato" w:hAnsi="Lato"/>
          <w:color w:val="auto"/>
        </w:rPr>
        <w:t xml:space="preserve">PinkRibbon International – </w:t>
      </w:r>
    </w:p>
    <w:p w14:paraId="21EA6F1D" w14:textId="77777777" w:rsidR="008F7674" w:rsidRPr="009720FE" w:rsidRDefault="009720FE">
      <w:pPr>
        <w:pStyle w:val="Title"/>
        <w:rPr>
          <w:rFonts w:ascii="Lato" w:hAnsi="Lato"/>
          <w:color w:val="auto"/>
        </w:rPr>
      </w:pPr>
      <w:r w:rsidRPr="009720FE">
        <w:rPr>
          <w:rFonts w:ascii="Lato" w:hAnsi="Lato"/>
          <w:color w:val="auto"/>
        </w:rPr>
        <w:t>Legal &amp; Compliance Policies</w:t>
      </w:r>
      <w:r w:rsidR="00B72CAB" w:rsidRPr="009720FE">
        <w:rPr>
          <w:rFonts w:ascii="Lato" w:hAnsi="Lato"/>
          <w:color w:val="auto"/>
        </w:rPr>
        <w:t xml:space="preserve"> Handbook </w:t>
      </w:r>
    </w:p>
    <w:p w14:paraId="39B5611C" w14:textId="3BEA8D39" w:rsidR="008F7674" w:rsidRPr="00E51FC3" w:rsidRDefault="00E51FC3" w:rsidP="00E51FC3">
      <w:pPr>
        <w:pStyle w:val="Heading1"/>
        <w:ind w:left="360"/>
        <w:rPr>
          <w:rFonts w:ascii="Lato" w:hAnsi="Lato"/>
          <w:color w:val="auto"/>
        </w:rPr>
      </w:pPr>
      <w:r>
        <w:rPr>
          <w:rFonts w:ascii="Lato" w:hAnsi="Lato"/>
          <w:color w:val="auto"/>
        </w:rPr>
        <w:t>1.</w:t>
      </w:r>
      <w:r w:rsidR="009720FE" w:rsidRPr="00E51FC3">
        <w:rPr>
          <w:rFonts w:ascii="Lato" w:hAnsi="Lato"/>
          <w:color w:val="auto"/>
        </w:rPr>
        <w:t>Terms of Use</w:t>
      </w:r>
    </w:p>
    <w:p w14:paraId="7E5B4423" w14:textId="77777777" w:rsidR="003A1070" w:rsidRPr="00E51FC3" w:rsidRDefault="003A1070" w:rsidP="00E51FC3">
      <w:pPr>
        <w:rPr>
          <w:rFonts w:ascii="Lato" w:hAnsi="Lato"/>
        </w:rPr>
      </w:pPr>
    </w:p>
    <w:p w14:paraId="0E51F22C" w14:textId="77777777" w:rsidR="008F7674" w:rsidRPr="00E51FC3" w:rsidRDefault="009720FE" w:rsidP="00E51FC3">
      <w:pPr>
        <w:ind w:left="360"/>
        <w:rPr>
          <w:rFonts w:ascii="Lato" w:hAnsi="Lato"/>
        </w:rPr>
      </w:pPr>
      <w:r w:rsidRPr="00E51FC3">
        <w:rPr>
          <w:rFonts w:ascii="Lato" w:hAnsi="Lato"/>
        </w:rPr>
        <w:t xml:space="preserve">PinkRibbon International provides this website to support our mission of raising awareness, prevention, </w:t>
      </w:r>
      <w:r w:rsidR="00B72CAB" w:rsidRPr="00E51FC3">
        <w:rPr>
          <w:rFonts w:ascii="Lato" w:hAnsi="Lato"/>
        </w:rPr>
        <w:t xml:space="preserve">research funding </w:t>
      </w:r>
      <w:r w:rsidRPr="00E51FC3">
        <w:rPr>
          <w:rFonts w:ascii="Lato" w:hAnsi="Lato"/>
        </w:rPr>
        <w:t xml:space="preserve">and support for </w:t>
      </w:r>
      <w:r w:rsidR="003A1070" w:rsidRPr="00E51FC3">
        <w:rPr>
          <w:rFonts w:ascii="Lato" w:hAnsi="Lato"/>
        </w:rPr>
        <w:t>F</w:t>
      </w:r>
      <w:r w:rsidRPr="00E51FC3">
        <w:rPr>
          <w:rFonts w:ascii="Lato" w:hAnsi="Lato"/>
        </w:rPr>
        <w:t xml:space="preserve">emale </w:t>
      </w:r>
      <w:r w:rsidR="003A1070" w:rsidRPr="00E51FC3">
        <w:rPr>
          <w:rFonts w:ascii="Lato" w:hAnsi="Lato"/>
        </w:rPr>
        <w:t>G</w:t>
      </w:r>
      <w:r w:rsidRPr="00E51FC3">
        <w:rPr>
          <w:rFonts w:ascii="Lato" w:hAnsi="Lato"/>
        </w:rPr>
        <w:t>ender-</w:t>
      </w:r>
      <w:r w:rsidR="003A1070" w:rsidRPr="00E51FC3">
        <w:rPr>
          <w:rFonts w:ascii="Lato" w:hAnsi="Lato"/>
        </w:rPr>
        <w:t>R</w:t>
      </w:r>
      <w:r w:rsidRPr="00E51FC3">
        <w:rPr>
          <w:rFonts w:ascii="Lato" w:hAnsi="Lato"/>
        </w:rPr>
        <w:t xml:space="preserve">elated </w:t>
      </w:r>
      <w:r w:rsidR="003A1070" w:rsidRPr="00E51FC3">
        <w:rPr>
          <w:rFonts w:ascii="Lato" w:hAnsi="Lato"/>
        </w:rPr>
        <w:t>C</w:t>
      </w:r>
      <w:r w:rsidRPr="00E51FC3">
        <w:rPr>
          <w:rFonts w:ascii="Lato" w:hAnsi="Lato"/>
        </w:rPr>
        <w:t>ancer. By accessing or using this website, you agree to the following:</w:t>
      </w:r>
    </w:p>
    <w:p w14:paraId="78C43468" w14:textId="080198C8" w:rsidR="008F7674" w:rsidRPr="00E51FC3" w:rsidRDefault="009720FE" w:rsidP="00E51FC3">
      <w:pPr>
        <w:ind w:left="1080"/>
        <w:rPr>
          <w:rFonts w:ascii="Lato" w:hAnsi="Lato"/>
        </w:rPr>
      </w:pPr>
      <w:r w:rsidRPr="00E51FC3">
        <w:rPr>
          <w:rFonts w:ascii="Lato" w:hAnsi="Lato"/>
          <w:b/>
          <w:bCs/>
        </w:rPr>
        <w:t>User Agreement:</w:t>
      </w:r>
      <w:r w:rsidRPr="00E51FC3">
        <w:rPr>
          <w:rFonts w:ascii="Lato" w:hAnsi="Lato"/>
        </w:rPr>
        <w:t xml:space="preserve"> Visitors may use our content for personal, non-commercial purposes. Unauthorized use, reproduction, or distribution of website materials is prohibited.</w:t>
      </w:r>
    </w:p>
    <w:p w14:paraId="1A1B835A" w14:textId="500D52FF" w:rsidR="008F7674" w:rsidRPr="00E51FC3" w:rsidRDefault="009720FE" w:rsidP="00E51FC3">
      <w:pPr>
        <w:ind w:left="1080"/>
        <w:rPr>
          <w:rFonts w:ascii="Lato" w:hAnsi="Lato"/>
        </w:rPr>
      </w:pPr>
      <w:r w:rsidRPr="00E51FC3">
        <w:rPr>
          <w:rFonts w:ascii="Lato" w:hAnsi="Lato"/>
          <w:b/>
          <w:bCs/>
        </w:rPr>
        <w:t>Intellectual Property:</w:t>
      </w:r>
      <w:r w:rsidRPr="00E51FC3">
        <w:rPr>
          <w:rFonts w:ascii="Lato" w:hAnsi="Lato"/>
        </w:rPr>
        <w:t xml:space="preserve"> All logos, trademarks, and content are the property of PinkRibbon International unless otherwise noted.</w:t>
      </w:r>
    </w:p>
    <w:p w14:paraId="2C8ADA0E" w14:textId="4A792C76" w:rsidR="008F7674" w:rsidRPr="00E51FC3" w:rsidRDefault="009720FE" w:rsidP="00E51FC3">
      <w:pPr>
        <w:ind w:left="1080"/>
        <w:rPr>
          <w:rFonts w:ascii="Lato" w:hAnsi="Lato"/>
        </w:rPr>
      </w:pPr>
      <w:r w:rsidRPr="00E51FC3">
        <w:rPr>
          <w:rFonts w:ascii="Lato" w:hAnsi="Lato"/>
          <w:b/>
          <w:bCs/>
        </w:rPr>
        <w:t>Dispute Resolution:</w:t>
      </w:r>
      <w:r w:rsidRPr="00E51FC3">
        <w:rPr>
          <w:rFonts w:ascii="Lato" w:hAnsi="Lato"/>
        </w:rPr>
        <w:t xml:space="preserve"> Any dispute arising from website use will first be addressed through good-faith negotiation. If unresolved, disputes shall be settled through binding arbitration in New York, pursuant to the rules of the American Arbitration Association.</w:t>
      </w:r>
    </w:p>
    <w:p w14:paraId="65DC1410" w14:textId="3BDC858D" w:rsidR="008F7674" w:rsidRPr="00E51FC3" w:rsidRDefault="009720FE" w:rsidP="00E51FC3">
      <w:pPr>
        <w:ind w:left="1080"/>
        <w:rPr>
          <w:rFonts w:ascii="Lato" w:hAnsi="Lato"/>
        </w:rPr>
      </w:pPr>
      <w:r w:rsidRPr="00E51FC3">
        <w:rPr>
          <w:rFonts w:ascii="Lato" w:hAnsi="Lato"/>
          <w:b/>
          <w:bCs/>
        </w:rPr>
        <w:t>Liability Disclaimer:</w:t>
      </w:r>
      <w:r w:rsidRPr="00E51FC3">
        <w:rPr>
          <w:rFonts w:ascii="Lato" w:hAnsi="Lato"/>
        </w:rPr>
        <w:t xml:space="preserve"> The website and its content are provided “as is” without warranties of any kind. PinkRibbon International is not liable for damages resulting from website use.</w:t>
      </w:r>
    </w:p>
    <w:p w14:paraId="46FAA6DE" w14:textId="590212AC" w:rsidR="008F7674" w:rsidRPr="00E51FC3" w:rsidRDefault="009720FE" w:rsidP="00E51FC3">
      <w:pPr>
        <w:ind w:left="1080"/>
        <w:rPr>
          <w:rFonts w:ascii="Lato" w:hAnsi="Lato"/>
        </w:rPr>
      </w:pPr>
      <w:r w:rsidRPr="00E51FC3">
        <w:rPr>
          <w:rFonts w:ascii="Lato" w:hAnsi="Lato"/>
          <w:b/>
          <w:bCs/>
        </w:rPr>
        <w:t xml:space="preserve">Governing Law: </w:t>
      </w:r>
      <w:r w:rsidRPr="00E51FC3">
        <w:rPr>
          <w:rFonts w:ascii="Lato" w:hAnsi="Lato"/>
        </w:rPr>
        <w:t>These Terms are governed by the laws of the State of New York and applicable U.S. federal law.</w:t>
      </w:r>
    </w:p>
    <w:p w14:paraId="6ADEEAF7" w14:textId="6517A235" w:rsidR="00E51FC3" w:rsidRPr="00E51FC3" w:rsidRDefault="00E51FC3" w:rsidP="00D021DC">
      <w:pPr>
        <w:pStyle w:val="Heading2"/>
        <w:ind w:left="720"/>
        <w:rPr>
          <w:rFonts w:ascii="Lato" w:hAnsi="Lato"/>
          <w:color w:val="auto"/>
        </w:rPr>
      </w:pPr>
      <w:r w:rsidRPr="00E51FC3">
        <w:rPr>
          <w:rFonts w:ascii="Lato" w:hAnsi="Lato"/>
          <w:color w:val="auto"/>
        </w:rPr>
        <w:t>Global User Terms</w:t>
      </w:r>
    </w:p>
    <w:p w14:paraId="5F25A9AF" w14:textId="77777777" w:rsidR="00E51FC3" w:rsidRPr="00E51FC3" w:rsidRDefault="00E51FC3" w:rsidP="00E51FC3">
      <w:pPr>
        <w:rPr>
          <w:rFonts w:ascii="Lato" w:hAnsi="Lato"/>
        </w:rPr>
      </w:pPr>
    </w:p>
    <w:p w14:paraId="04E90530" w14:textId="77777777" w:rsidR="00E51FC3" w:rsidRPr="00E51FC3" w:rsidRDefault="00E51FC3" w:rsidP="00D021DC">
      <w:pPr>
        <w:ind w:left="720"/>
        <w:rPr>
          <w:rFonts w:ascii="Lato" w:hAnsi="Lato"/>
        </w:rPr>
      </w:pPr>
      <w:r w:rsidRPr="00E51FC3">
        <w:rPr>
          <w:rFonts w:ascii="Lato" w:hAnsi="Lato"/>
        </w:rPr>
        <w:t xml:space="preserve">PinkRibbon International operates globally. Users accessing the website from outside the United States are responsible for compliance with their local laws. The </w:t>
      </w:r>
      <w:r w:rsidRPr="00E51FC3">
        <w:rPr>
          <w:rFonts w:ascii="Lato" w:hAnsi="Lato"/>
        </w:rPr>
        <w:lastRenderedPageBreak/>
        <w:t>organization makes no representation that content or services are appropriate for use in all jurisdictions.</w:t>
      </w:r>
    </w:p>
    <w:p w14:paraId="7A78B4DC" w14:textId="77777777" w:rsidR="00E51FC3" w:rsidRPr="00E51FC3" w:rsidRDefault="00E51FC3" w:rsidP="00D021DC">
      <w:pPr>
        <w:ind w:left="720"/>
        <w:rPr>
          <w:rFonts w:ascii="Lato" w:hAnsi="Lato"/>
        </w:rPr>
      </w:pPr>
      <w:r w:rsidRPr="00E51FC3">
        <w:rPr>
          <w:rFonts w:ascii="Lato" w:hAnsi="Lato"/>
        </w:rPr>
        <w:t>By using this website, international users consent to the transfer and processing of their information in the United States, where data protection laws may differ from those in their home country.</w:t>
      </w:r>
    </w:p>
    <w:p w14:paraId="15DFA672" w14:textId="77777777" w:rsidR="00E51FC3" w:rsidRPr="00E51FC3" w:rsidRDefault="00E51FC3" w:rsidP="00E51FC3">
      <w:pPr>
        <w:rPr>
          <w:rFonts w:ascii="Lato" w:hAnsi="Lato"/>
        </w:rPr>
      </w:pPr>
    </w:p>
    <w:p w14:paraId="256E2A22" w14:textId="77777777" w:rsidR="00E51FC3" w:rsidRPr="00E51FC3" w:rsidRDefault="00E51FC3" w:rsidP="00D021DC">
      <w:pPr>
        <w:pStyle w:val="Heading2"/>
        <w:ind w:left="720"/>
        <w:rPr>
          <w:rFonts w:ascii="Lato" w:hAnsi="Lato"/>
          <w:color w:val="auto"/>
        </w:rPr>
      </w:pPr>
      <w:r w:rsidRPr="00E51FC3">
        <w:rPr>
          <w:rFonts w:ascii="Lato" w:hAnsi="Lato"/>
          <w:color w:val="auto"/>
        </w:rPr>
        <w:t>Accuracy of Information Disclaimer</w:t>
      </w:r>
    </w:p>
    <w:p w14:paraId="0E532668" w14:textId="77777777" w:rsidR="00E51FC3" w:rsidRPr="00E51FC3" w:rsidRDefault="00E51FC3" w:rsidP="00D021DC">
      <w:pPr>
        <w:ind w:left="720"/>
        <w:rPr>
          <w:rFonts w:ascii="Lato" w:hAnsi="Lato"/>
        </w:rPr>
      </w:pPr>
      <w:r w:rsidRPr="00E51FC3">
        <w:rPr>
          <w:rFonts w:ascii="Lato" w:hAnsi="Lato"/>
        </w:rPr>
        <w:t>While PinkRibbon International strives to ensure the accuracy and timeliness of information provided, the website may contain errors or omissions. All content is provided for general awareness and educational purposes only. It should not be construed as medical, legal, or financial advice. Users should consult appropriate professionals before making decisions based on website content.</w:t>
      </w:r>
    </w:p>
    <w:p w14:paraId="26F52545" w14:textId="77777777" w:rsidR="00E51FC3" w:rsidRPr="00E51FC3" w:rsidRDefault="00E51FC3" w:rsidP="00D021DC">
      <w:pPr>
        <w:ind w:left="720"/>
        <w:rPr>
          <w:rFonts w:ascii="Lato" w:hAnsi="Lato"/>
        </w:rPr>
      </w:pPr>
      <w:r w:rsidRPr="00E51FC3">
        <w:rPr>
          <w:rFonts w:ascii="Lato" w:hAnsi="Lato"/>
        </w:rPr>
        <w:t>PinkRibbon International makes no guarantees as to the accuracy, completeness, or reliability of any information provided on this site or linked third-party resources.</w:t>
      </w:r>
    </w:p>
    <w:p w14:paraId="6DA8868E" w14:textId="77777777" w:rsidR="00E51FC3" w:rsidRPr="00E51FC3" w:rsidRDefault="00E51FC3" w:rsidP="00E51FC3">
      <w:pPr>
        <w:rPr>
          <w:rFonts w:ascii="Lato" w:hAnsi="Lato"/>
        </w:rPr>
      </w:pPr>
    </w:p>
    <w:p w14:paraId="18E0728F" w14:textId="77777777" w:rsidR="008F7674" w:rsidRPr="00E51FC3" w:rsidRDefault="009720FE" w:rsidP="00E51FC3">
      <w:pPr>
        <w:pStyle w:val="Heading1"/>
        <w:ind w:left="360"/>
        <w:rPr>
          <w:rFonts w:ascii="Lato" w:hAnsi="Lato"/>
          <w:color w:val="auto"/>
        </w:rPr>
      </w:pPr>
      <w:r w:rsidRPr="00E51FC3">
        <w:rPr>
          <w:rFonts w:ascii="Lato" w:hAnsi="Lato"/>
          <w:color w:val="auto"/>
        </w:rPr>
        <w:t>2. Privacy Policy</w:t>
      </w:r>
    </w:p>
    <w:p w14:paraId="75979E9B" w14:textId="77777777" w:rsidR="00B72CAB" w:rsidRPr="00E51FC3" w:rsidRDefault="00B72CAB" w:rsidP="00E51FC3">
      <w:pPr>
        <w:rPr>
          <w:rFonts w:ascii="Lato" w:hAnsi="Lato"/>
        </w:rPr>
      </w:pPr>
    </w:p>
    <w:p w14:paraId="54AC8529" w14:textId="77777777" w:rsidR="008F7674" w:rsidRPr="00E51FC3" w:rsidRDefault="009720FE" w:rsidP="00E51FC3">
      <w:pPr>
        <w:ind w:left="360"/>
        <w:rPr>
          <w:rFonts w:ascii="Lato" w:hAnsi="Lato"/>
        </w:rPr>
      </w:pPr>
      <w:r w:rsidRPr="00E51FC3">
        <w:rPr>
          <w:rFonts w:ascii="Lato" w:hAnsi="Lato"/>
        </w:rPr>
        <w:t>PinkRibbon International respects your privacy and is committed to safeguarding your information in compliance with New York Privacy Act (NYPA, pending) and applicable U.S. laws (FTC, HIPAA where relevant, and GDPR/CCPA for international donors).</w:t>
      </w:r>
    </w:p>
    <w:p w14:paraId="797D629D" w14:textId="77777777" w:rsidR="003A1070" w:rsidRPr="00E51FC3" w:rsidRDefault="003A1070" w:rsidP="00E51FC3">
      <w:pPr>
        <w:rPr>
          <w:rFonts w:ascii="Lato" w:hAnsi="Lato"/>
          <w:b/>
          <w:bCs/>
        </w:rPr>
      </w:pPr>
    </w:p>
    <w:p w14:paraId="5A3D1061" w14:textId="77777777" w:rsidR="003A1070" w:rsidRPr="00E51FC3" w:rsidRDefault="003A1070" w:rsidP="00E51FC3">
      <w:pPr>
        <w:rPr>
          <w:rFonts w:ascii="Lato" w:hAnsi="Lato"/>
          <w:b/>
          <w:bCs/>
        </w:rPr>
      </w:pPr>
    </w:p>
    <w:p w14:paraId="73AA3014" w14:textId="7ED37FC8" w:rsidR="008F7674" w:rsidRPr="00D021DC" w:rsidRDefault="009720FE" w:rsidP="00D021DC">
      <w:pPr>
        <w:pStyle w:val="ListParagraph"/>
        <w:numPr>
          <w:ilvl w:val="0"/>
          <w:numId w:val="12"/>
        </w:numPr>
        <w:rPr>
          <w:rFonts w:ascii="Lato" w:hAnsi="Lato"/>
        </w:rPr>
      </w:pPr>
      <w:r w:rsidRPr="00D021DC">
        <w:rPr>
          <w:rFonts w:ascii="Lato" w:hAnsi="Lato"/>
          <w:b/>
          <w:bCs/>
        </w:rPr>
        <w:t>Information Collected:</w:t>
      </w:r>
      <w:r w:rsidRPr="00D021DC">
        <w:rPr>
          <w:rFonts w:ascii="Lato" w:hAnsi="Lato"/>
        </w:rPr>
        <w:t xml:space="preserve"> We may collect personal information such as names, contact details, donation history, and online activity.</w:t>
      </w:r>
    </w:p>
    <w:p w14:paraId="63035D1C" w14:textId="7D39251C" w:rsidR="00B72CAB" w:rsidRPr="00D021DC" w:rsidRDefault="009720FE" w:rsidP="00D021DC">
      <w:pPr>
        <w:pStyle w:val="ListParagraph"/>
        <w:numPr>
          <w:ilvl w:val="0"/>
          <w:numId w:val="12"/>
        </w:numPr>
        <w:rPr>
          <w:rFonts w:ascii="Lato" w:hAnsi="Lato"/>
        </w:rPr>
      </w:pPr>
      <w:r w:rsidRPr="00D021DC">
        <w:rPr>
          <w:rFonts w:ascii="Lato" w:hAnsi="Lato"/>
          <w:b/>
          <w:bCs/>
        </w:rPr>
        <w:t>Use of Data:</w:t>
      </w:r>
      <w:r w:rsidRPr="00D021DC">
        <w:rPr>
          <w:rFonts w:ascii="Lato" w:hAnsi="Lato"/>
        </w:rPr>
        <w:t xml:space="preserve"> Data is used strictly for mission-related purposes, including fundraising, awareness campaigns, donor engagement, and reporting obligations.</w:t>
      </w:r>
    </w:p>
    <w:p w14:paraId="1317E01A" w14:textId="086B932C" w:rsidR="008F7674" w:rsidRPr="00D021DC" w:rsidRDefault="009720FE" w:rsidP="00D021DC">
      <w:pPr>
        <w:pStyle w:val="ListParagraph"/>
        <w:numPr>
          <w:ilvl w:val="0"/>
          <w:numId w:val="12"/>
        </w:numPr>
        <w:rPr>
          <w:rFonts w:ascii="Lato" w:hAnsi="Lato"/>
        </w:rPr>
      </w:pPr>
      <w:r w:rsidRPr="00D021DC">
        <w:rPr>
          <w:rFonts w:ascii="Lato" w:hAnsi="Lato"/>
          <w:b/>
          <w:bCs/>
        </w:rPr>
        <w:t>Sharing of Data:</w:t>
      </w:r>
      <w:r w:rsidRPr="00D021DC">
        <w:rPr>
          <w:rFonts w:ascii="Lato" w:hAnsi="Lato"/>
        </w:rPr>
        <w:t xml:space="preserve"> We do not sell donor or user data. Information may only be shared with trusted service providers under confidentiality agreements or as required by law.</w:t>
      </w:r>
    </w:p>
    <w:p w14:paraId="15FD12A0" w14:textId="6902265A" w:rsidR="008F7674" w:rsidRDefault="009720FE" w:rsidP="00D021DC">
      <w:pPr>
        <w:pStyle w:val="ListParagraph"/>
        <w:numPr>
          <w:ilvl w:val="0"/>
          <w:numId w:val="12"/>
        </w:numPr>
        <w:rPr>
          <w:rFonts w:ascii="Lato" w:hAnsi="Lato"/>
        </w:rPr>
      </w:pPr>
      <w:r w:rsidRPr="00D021DC">
        <w:rPr>
          <w:rFonts w:ascii="Lato" w:hAnsi="Lato"/>
          <w:b/>
          <w:bCs/>
        </w:rPr>
        <w:t>Security:</w:t>
      </w:r>
      <w:r w:rsidRPr="00D021DC">
        <w:rPr>
          <w:rFonts w:ascii="Lato" w:hAnsi="Lato"/>
        </w:rPr>
        <w:t xml:space="preserve"> We implement industry-standard encryption and secure servers to protect personal and financial data.</w:t>
      </w:r>
    </w:p>
    <w:p w14:paraId="054CC675" w14:textId="77777777" w:rsidR="00D021DC" w:rsidRPr="00D021DC" w:rsidRDefault="00D021DC" w:rsidP="00D021DC">
      <w:pPr>
        <w:rPr>
          <w:rFonts w:ascii="Lato" w:hAnsi="Lato"/>
        </w:rPr>
      </w:pPr>
    </w:p>
    <w:p w14:paraId="28C03B0D" w14:textId="5BBC6D69" w:rsidR="008F7674" w:rsidRPr="00D021DC" w:rsidRDefault="009720FE" w:rsidP="00D021DC">
      <w:pPr>
        <w:pStyle w:val="ListParagraph"/>
        <w:numPr>
          <w:ilvl w:val="0"/>
          <w:numId w:val="12"/>
        </w:numPr>
        <w:rPr>
          <w:rFonts w:ascii="Lato" w:hAnsi="Lato"/>
        </w:rPr>
      </w:pPr>
      <w:r w:rsidRPr="00D021DC">
        <w:rPr>
          <w:rFonts w:ascii="Lato" w:hAnsi="Lato"/>
          <w:b/>
          <w:bCs/>
        </w:rPr>
        <w:t>Donor Rights:</w:t>
      </w:r>
      <w:r w:rsidRPr="00D021DC">
        <w:rPr>
          <w:rFonts w:ascii="Lato" w:hAnsi="Lato"/>
        </w:rPr>
        <w:t xml:space="preserve"> Donors may opt out of communications, request corrections, or request deletion of their data in compliance with New York’s data protection requirements.</w:t>
      </w:r>
    </w:p>
    <w:p w14:paraId="71A61AAA" w14:textId="34F96FF1" w:rsidR="008F7674" w:rsidRPr="00D021DC" w:rsidRDefault="009720FE" w:rsidP="00D021DC">
      <w:pPr>
        <w:pStyle w:val="ListParagraph"/>
        <w:numPr>
          <w:ilvl w:val="0"/>
          <w:numId w:val="12"/>
        </w:numPr>
        <w:rPr>
          <w:rFonts w:ascii="Lato" w:hAnsi="Lato"/>
        </w:rPr>
      </w:pPr>
      <w:r w:rsidRPr="00D021DC">
        <w:rPr>
          <w:rFonts w:ascii="Lato" w:hAnsi="Lato"/>
          <w:b/>
          <w:bCs/>
        </w:rPr>
        <w:t>Children’s Privacy:</w:t>
      </w:r>
      <w:r w:rsidRPr="00D021DC">
        <w:rPr>
          <w:rFonts w:ascii="Lato" w:hAnsi="Lato"/>
        </w:rPr>
        <w:t xml:space="preserve"> Our services are not directed to children under 13.</w:t>
      </w:r>
    </w:p>
    <w:p w14:paraId="0C59EDC3" w14:textId="77777777" w:rsidR="008F7674" w:rsidRPr="00E51FC3" w:rsidRDefault="009720FE" w:rsidP="00E51FC3">
      <w:pPr>
        <w:pStyle w:val="Heading1"/>
        <w:ind w:left="360"/>
        <w:rPr>
          <w:rFonts w:ascii="Lato" w:hAnsi="Lato"/>
          <w:color w:val="auto"/>
        </w:rPr>
      </w:pPr>
      <w:r w:rsidRPr="00E51FC3">
        <w:rPr>
          <w:rFonts w:ascii="Lato" w:hAnsi="Lato"/>
          <w:color w:val="auto"/>
        </w:rPr>
        <w:t>3. Code of Conduct &amp; Legal Disclosures</w:t>
      </w:r>
    </w:p>
    <w:p w14:paraId="71030B02" w14:textId="77777777" w:rsidR="00B72CAB" w:rsidRPr="00E51FC3" w:rsidRDefault="00B72CAB" w:rsidP="00E51FC3">
      <w:pPr>
        <w:rPr>
          <w:rFonts w:ascii="Lato" w:hAnsi="Lato"/>
        </w:rPr>
      </w:pPr>
    </w:p>
    <w:p w14:paraId="1CCA3C45" w14:textId="77777777" w:rsidR="008F7674" w:rsidRPr="00E51FC3" w:rsidRDefault="009720FE" w:rsidP="00E51FC3">
      <w:pPr>
        <w:ind w:left="360"/>
        <w:rPr>
          <w:rFonts w:ascii="Lato" w:hAnsi="Lato"/>
        </w:rPr>
      </w:pPr>
      <w:r w:rsidRPr="00E51FC3">
        <w:rPr>
          <w:rFonts w:ascii="Lato" w:hAnsi="Lato"/>
        </w:rPr>
        <w:t>PinkRibbon International is committed to the highest ethical standards.</w:t>
      </w:r>
    </w:p>
    <w:p w14:paraId="1576F651" w14:textId="36051A43" w:rsidR="008F7674" w:rsidRPr="00D021DC" w:rsidRDefault="009720FE" w:rsidP="00D021DC">
      <w:pPr>
        <w:pStyle w:val="ListParagraph"/>
        <w:numPr>
          <w:ilvl w:val="0"/>
          <w:numId w:val="13"/>
        </w:numPr>
        <w:rPr>
          <w:rFonts w:ascii="Lato" w:hAnsi="Lato"/>
        </w:rPr>
      </w:pPr>
      <w:r w:rsidRPr="00D021DC">
        <w:rPr>
          <w:rFonts w:ascii="Lato" w:hAnsi="Lato"/>
          <w:b/>
          <w:bCs/>
        </w:rPr>
        <w:t>Conflict of Interest:</w:t>
      </w:r>
      <w:r w:rsidRPr="00D021DC">
        <w:rPr>
          <w:rFonts w:ascii="Lato" w:hAnsi="Lato"/>
        </w:rPr>
        <w:t xml:space="preserve"> Directors, officers, and staff must disclose potential conflicts in accordance with New York Not-for-Profit Corporation Law § 715-a.</w:t>
      </w:r>
    </w:p>
    <w:p w14:paraId="0FD42D56" w14:textId="087F11CF" w:rsidR="008F7674" w:rsidRPr="00D021DC" w:rsidRDefault="009720FE" w:rsidP="00D021DC">
      <w:pPr>
        <w:pStyle w:val="ListParagraph"/>
        <w:numPr>
          <w:ilvl w:val="0"/>
          <w:numId w:val="13"/>
        </w:numPr>
        <w:rPr>
          <w:rFonts w:ascii="Lato" w:hAnsi="Lato"/>
        </w:rPr>
      </w:pPr>
      <w:r w:rsidRPr="00D021DC">
        <w:rPr>
          <w:rFonts w:ascii="Lato" w:hAnsi="Lato"/>
          <w:b/>
          <w:bCs/>
        </w:rPr>
        <w:t>Non-Discrimination:</w:t>
      </w:r>
      <w:r w:rsidRPr="00D021DC">
        <w:rPr>
          <w:rFonts w:ascii="Lato" w:hAnsi="Lato"/>
        </w:rPr>
        <w:t xml:space="preserve"> We prohibit discrimination or harassment based on race, gender, age, religion, sexual orientation, disability, or any protected status under U.S. or New York law.</w:t>
      </w:r>
    </w:p>
    <w:p w14:paraId="59DC00A7" w14:textId="79BCAFFE" w:rsidR="008F7674" w:rsidRPr="00D021DC" w:rsidRDefault="009720FE" w:rsidP="00D021DC">
      <w:pPr>
        <w:pStyle w:val="ListParagraph"/>
        <w:numPr>
          <w:ilvl w:val="0"/>
          <w:numId w:val="13"/>
        </w:numPr>
        <w:rPr>
          <w:rFonts w:ascii="Lato" w:hAnsi="Lato"/>
        </w:rPr>
      </w:pPr>
      <w:r w:rsidRPr="00D021DC">
        <w:rPr>
          <w:rFonts w:ascii="Lato" w:hAnsi="Lato"/>
          <w:b/>
          <w:bCs/>
        </w:rPr>
        <w:t>Integrity of Communications:</w:t>
      </w:r>
      <w:r w:rsidRPr="00D021DC">
        <w:rPr>
          <w:rFonts w:ascii="Lato" w:hAnsi="Lato"/>
        </w:rPr>
        <w:t xml:space="preserve"> All public communications must be truthful, transparent, and mission-driven.</w:t>
      </w:r>
    </w:p>
    <w:p w14:paraId="6811DA49" w14:textId="6FCEDC19" w:rsidR="008F7674" w:rsidRPr="00D021DC" w:rsidRDefault="009720FE" w:rsidP="00D021DC">
      <w:pPr>
        <w:pStyle w:val="ListParagraph"/>
        <w:numPr>
          <w:ilvl w:val="0"/>
          <w:numId w:val="13"/>
        </w:numPr>
        <w:rPr>
          <w:rFonts w:ascii="Lato" w:hAnsi="Lato"/>
        </w:rPr>
      </w:pPr>
      <w:r w:rsidRPr="00D021DC">
        <w:rPr>
          <w:rFonts w:ascii="Lato" w:hAnsi="Lato"/>
          <w:b/>
          <w:bCs/>
        </w:rPr>
        <w:t>Reporting Misconduct:</w:t>
      </w:r>
      <w:r w:rsidRPr="00D021DC">
        <w:rPr>
          <w:rFonts w:ascii="Lato" w:hAnsi="Lato"/>
        </w:rPr>
        <w:t xml:space="preserve"> Any suspected misconduct, fraud, or violation of policy should be reported confidentially through established channels (see Whistleblower Policy below).</w:t>
      </w:r>
    </w:p>
    <w:p w14:paraId="0FF017A3" w14:textId="77777777" w:rsidR="008F7674" w:rsidRPr="00E51FC3" w:rsidRDefault="009720FE" w:rsidP="00E51FC3">
      <w:pPr>
        <w:pStyle w:val="Heading1"/>
        <w:ind w:left="360"/>
        <w:rPr>
          <w:rFonts w:ascii="Lato" w:hAnsi="Lato"/>
          <w:color w:val="auto"/>
        </w:rPr>
      </w:pPr>
      <w:r w:rsidRPr="00E51FC3">
        <w:rPr>
          <w:rFonts w:ascii="Lato" w:hAnsi="Lato"/>
          <w:color w:val="auto"/>
        </w:rPr>
        <w:t>4. Nonprofit Status &amp; Tax Information</w:t>
      </w:r>
    </w:p>
    <w:p w14:paraId="08C77806" w14:textId="77777777" w:rsidR="00B72CAB" w:rsidRPr="00E51FC3" w:rsidRDefault="00B72CAB" w:rsidP="00E51FC3">
      <w:pPr>
        <w:rPr>
          <w:rFonts w:ascii="Lato" w:hAnsi="Lato"/>
        </w:rPr>
      </w:pPr>
    </w:p>
    <w:p w14:paraId="2FCB481F" w14:textId="5208277F" w:rsidR="008F7674" w:rsidRPr="00E51FC3" w:rsidRDefault="009720FE" w:rsidP="00D021DC">
      <w:pPr>
        <w:ind w:left="360"/>
        <w:rPr>
          <w:rFonts w:ascii="Lato" w:hAnsi="Lato"/>
        </w:rPr>
      </w:pPr>
      <w:r w:rsidRPr="00E51FC3">
        <w:rPr>
          <w:rFonts w:ascii="Lato" w:hAnsi="Lato"/>
        </w:rPr>
        <w:t>PinkRibbon International is a registered 501(c)(3) nonprofit organization under U.S. law and is registered with the New York State Attorney General’s Charities Bureau.</w:t>
      </w:r>
      <w:r w:rsidR="00D021DC">
        <w:rPr>
          <w:rFonts w:ascii="Lato" w:hAnsi="Lato"/>
        </w:rPr>
        <w:t xml:space="preserve"> </w:t>
      </w:r>
      <w:r w:rsidRPr="00E51FC3">
        <w:rPr>
          <w:rFonts w:ascii="Lato" w:hAnsi="Lato"/>
        </w:rPr>
        <w:t>Donations are tax-deductible to the fullest extent allowed by law.</w:t>
      </w:r>
    </w:p>
    <w:p w14:paraId="249AA59B" w14:textId="77777777" w:rsidR="00B72CAB" w:rsidRPr="00E51FC3" w:rsidRDefault="00B72CAB" w:rsidP="00E51FC3">
      <w:pPr>
        <w:ind w:left="360"/>
        <w:rPr>
          <w:rFonts w:ascii="Lato" w:hAnsi="Lato"/>
          <w:sz w:val="20"/>
        </w:rPr>
      </w:pPr>
      <w:r w:rsidRPr="00E51FC3">
        <w:rPr>
          <w:rFonts w:ascii="Lato" w:hAnsi="Lato"/>
          <w:sz w:val="20"/>
        </w:rPr>
        <w:t xml:space="preserve">Pink Ribbon is a public charity as defined by subparagraph (a)(5) of Section 102 </w:t>
      </w:r>
      <w:r w:rsidRPr="00E51FC3">
        <w:rPr>
          <w:rFonts w:ascii="Lato" w:hAnsi="Lato"/>
          <w:sz w:val="20"/>
        </w:rPr>
        <w:br/>
        <w:t xml:space="preserve">(Definitions) of the Not-for-Profit Corporation Law. Pink Ribbon International </w:t>
      </w:r>
      <w:r w:rsidRPr="00E51FC3">
        <w:rPr>
          <w:rFonts w:ascii="Lato" w:hAnsi="Lato"/>
          <w:sz w:val="20"/>
        </w:rPr>
        <w:br/>
        <w:t xml:space="preserve">is organized exclusively for charitable, educational and scientific purposes, </w:t>
      </w:r>
      <w:r w:rsidRPr="00E51FC3">
        <w:rPr>
          <w:rFonts w:ascii="Lato" w:hAnsi="Lato"/>
          <w:sz w:val="20"/>
        </w:rPr>
        <w:br/>
        <w:t xml:space="preserve">within the meaning of Section 501(c)(3) of the Internal Revenue Code of 1986. </w:t>
      </w:r>
      <w:r w:rsidRPr="00E51FC3">
        <w:rPr>
          <w:rFonts w:ascii="Lato" w:hAnsi="Lato"/>
          <w:sz w:val="20"/>
        </w:rPr>
        <w:br/>
        <w:t xml:space="preserve">Contributions are deductible under section 170 of the Code. Pink Ribbon is </w:t>
      </w:r>
      <w:r w:rsidRPr="00E51FC3">
        <w:rPr>
          <w:rFonts w:ascii="Lato" w:hAnsi="Lato"/>
          <w:sz w:val="20"/>
        </w:rPr>
        <w:br/>
        <w:t xml:space="preserve">qualified to receive tax deductible bequests, devises, transfers and gifts under </w:t>
      </w:r>
      <w:r w:rsidRPr="00E51FC3">
        <w:rPr>
          <w:rFonts w:ascii="Lato" w:hAnsi="Lato"/>
          <w:sz w:val="20"/>
        </w:rPr>
        <w:br/>
        <w:t xml:space="preserve">section 2055, 2106 and 2522 of the Code. Donations are tax deductible (EIN: </w:t>
      </w:r>
      <w:r w:rsidRPr="00E51FC3">
        <w:rPr>
          <w:rFonts w:ascii="Lato" w:hAnsi="Lato"/>
          <w:sz w:val="20"/>
        </w:rPr>
        <w:br/>
        <w:t>42-1766709 DLN: 700288004).</w:t>
      </w:r>
    </w:p>
    <w:p w14:paraId="5185AC79" w14:textId="22E2C4EB" w:rsidR="00B72CAB" w:rsidRPr="00E51FC3" w:rsidRDefault="00B72CAB" w:rsidP="00E51FC3">
      <w:pPr>
        <w:ind w:left="360"/>
        <w:rPr>
          <w:rFonts w:ascii="Lato" w:hAnsi="Lato"/>
          <w:sz w:val="20"/>
        </w:rPr>
      </w:pPr>
      <w:r w:rsidRPr="00E51FC3">
        <w:rPr>
          <w:rFonts w:ascii="Lato" w:hAnsi="Lato"/>
          <w:sz w:val="20"/>
        </w:rPr>
        <w:br/>
      </w:r>
    </w:p>
    <w:p w14:paraId="10368B0E" w14:textId="77777777" w:rsidR="009720FE" w:rsidRPr="00E51FC3" w:rsidRDefault="009720FE" w:rsidP="00E51FC3">
      <w:pPr>
        <w:rPr>
          <w:rFonts w:ascii="Lato" w:hAnsi="Lato"/>
          <w:sz w:val="20"/>
        </w:rPr>
      </w:pPr>
    </w:p>
    <w:p w14:paraId="58EE85F2" w14:textId="7FA80DF6" w:rsidR="009720FE" w:rsidRDefault="00B72CAB" w:rsidP="00BD3763">
      <w:pPr>
        <w:spacing w:after="0"/>
        <w:ind w:left="360"/>
        <w:rPr>
          <w:rFonts w:ascii="Lato" w:hAnsi="Lato"/>
          <w:sz w:val="20"/>
        </w:rPr>
      </w:pPr>
      <w:r w:rsidRPr="00E51FC3">
        <w:rPr>
          <w:rFonts w:ascii="Lato" w:hAnsi="Lato"/>
          <w:sz w:val="20"/>
        </w:rPr>
        <w:lastRenderedPageBreak/>
        <w:br/>
      </w:r>
      <w:r w:rsidR="009720FE" w:rsidRPr="00E51FC3">
        <w:rPr>
          <w:rFonts w:ascii="Lato" w:hAnsi="Lato"/>
          <w:b/>
          <w:bCs/>
          <w:sz w:val="20"/>
        </w:rPr>
        <w:t>B</w:t>
      </w:r>
      <w:r w:rsidRPr="00E51FC3">
        <w:rPr>
          <w:rFonts w:ascii="Lato" w:hAnsi="Lato"/>
          <w:b/>
          <w:bCs/>
          <w:sz w:val="20"/>
        </w:rPr>
        <w:t>ank name</w:t>
      </w:r>
      <w:r w:rsidR="00347FB6">
        <w:rPr>
          <w:rFonts w:ascii="Lato" w:hAnsi="Lato"/>
          <w:b/>
          <w:bCs/>
          <w:sz w:val="20"/>
        </w:rPr>
        <w:t>:</w:t>
      </w:r>
      <w:r w:rsidRPr="00E51FC3">
        <w:rPr>
          <w:rFonts w:ascii="Lato" w:hAnsi="Lato"/>
          <w:sz w:val="20"/>
        </w:rPr>
        <w:t xml:space="preserve"> </w:t>
      </w:r>
      <w:r w:rsidR="00347FB6">
        <w:rPr>
          <w:rFonts w:ascii="Lato" w:hAnsi="Lato"/>
          <w:sz w:val="20"/>
        </w:rPr>
        <w:t xml:space="preserve">                                    </w:t>
      </w:r>
      <w:r w:rsidR="00BD3763">
        <w:rPr>
          <w:rFonts w:ascii="Lato" w:hAnsi="Lato"/>
          <w:sz w:val="20"/>
        </w:rPr>
        <w:t>Flagstar Bank N.A</w:t>
      </w:r>
    </w:p>
    <w:p w14:paraId="3AD934FE" w14:textId="0B1354C7" w:rsidR="00BD3763" w:rsidRDefault="00BD3763" w:rsidP="00BD3763">
      <w:pPr>
        <w:spacing w:after="0"/>
        <w:ind w:left="360"/>
        <w:rPr>
          <w:rFonts w:ascii="Lato" w:hAnsi="Lato"/>
          <w:sz w:val="20"/>
        </w:rPr>
      </w:pPr>
      <w:r w:rsidRPr="00347FB6">
        <w:rPr>
          <w:rFonts w:ascii="Lato" w:hAnsi="Lato"/>
          <w:b/>
          <w:bCs/>
          <w:sz w:val="20"/>
        </w:rPr>
        <w:t>Beneficiary Bank Address:</w:t>
      </w:r>
      <w:r>
        <w:rPr>
          <w:rFonts w:ascii="Lato" w:hAnsi="Lato"/>
          <w:sz w:val="20"/>
        </w:rPr>
        <w:t xml:space="preserve"> </w:t>
      </w:r>
      <w:r w:rsidR="00347FB6">
        <w:rPr>
          <w:rFonts w:ascii="Lato" w:hAnsi="Lato"/>
          <w:sz w:val="20"/>
        </w:rPr>
        <w:t xml:space="preserve">          </w:t>
      </w:r>
      <w:r>
        <w:rPr>
          <w:rFonts w:ascii="Lato" w:hAnsi="Lato"/>
          <w:sz w:val="20"/>
        </w:rPr>
        <w:t>1400 Broadway, 25</w:t>
      </w:r>
      <w:r w:rsidRPr="00BD3763">
        <w:rPr>
          <w:rFonts w:ascii="Lato" w:hAnsi="Lato"/>
          <w:sz w:val="20"/>
          <w:vertAlign w:val="superscript"/>
        </w:rPr>
        <w:t>th</w:t>
      </w:r>
      <w:r>
        <w:rPr>
          <w:rFonts w:ascii="Lato" w:hAnsi="Lato"/>
          <w:sz w:val="20"/>
        </w:rPr>
        <w:t xml:space="preserve"> Floor</w:t>
      </w:r>
    </w:p>
    <w:p w14:paraId="3D744EF7" w14:textId="1E87DC41" w:rsidR="00BD3763" w:rsidRDefault="00BD3763" w:rsidP="00BD3763">
      <w:pPr>
        <w:spacing w:after="0"/>
        <w:ind w:left="360"/>
        <w:rPr>
          <w:rFonts w:ascii="Lato" w:hAnsi="Lato"/>
          <w:sz w:val="20"/>
        </w:rPr>
      </w:pPr>
      <w:r>
        <w:rPr>
          <w:rFonts w:ascii="Lato" w:hAnsi="Lato"/>
          <w:sz w:val="20"/>
        </w:rPr>
        <w:t xml:space="preserve">                                              </w:t>
      </w:r>
      <w:r w:rsidR="00347FB6">
        <w:rPr>
          <w:rFonts w:ascii="Lato" w:hAnsi="Lato"/>
          <w:sz w:val="20"/>
        </w:rPr>
        <w:t xml:space="preserve">           </w:t>
      </w:r>
      <w:r>
        <w:rPr>
          <w:rFonts w:ascii="Lato" w:hAnsi="Lato"/>
          <w:sz w:val="20"/>
        </w:rPr>
        <w:t>New York NY</w:t>
      </w:r>
    </w:p>
    <w:p w14:paraId="616326D5" w14:textId="32BB9A04" w:rsidR="00BD3763" w:rsidRDefault="00BD3763" w:rsidP="00BD3763">
      <w:pPr>
        <w:spacing w:after="0"/>
        <w:ind w:left="360"/>
        <w:rPr>
          <w:rFonts w:ascii="Lato" w:hAnsi="Lato"/>
          <w:sz w:val="20"/>
        </w:rPr>
      </w:pPr>
      <w:r>
        <w:rPr>
          <w:rFonts w:ascii="Lato" w:hAnsi="Lato"/>
          <w:sz w:val="20"/>
        </w:rPr>
        <w:t xml:space="preserve">                                              </w:t>
      </w:r>
      <w:r w:rsidR="00347FB6">
        <w:rPr>
          <w:rFonts w:ascii="Lato" w:hAnsi="Lato"/>
          <w:sz w:val="20"/>
        </w:rPr>
        <w:t xml:space="preserve">          </w:t>
      </w:r>
      <w:r>
        <w:rPr>
          <w:rFonts w:ascii="Lato" w:hAnsi="Lato"/>
          <w:sz w:val="20"/>
        </w:rPr>
        <w:t>10018</w:t>
      </w:r>
    </w:p>
    <w:p w14:paraId="209D7AC8" w14:textId="3ED6E3C2" w:rsidR="00BD3763" w:rsidRDefault="00BD3763" w:rsidP="00BD3763">
      <w:pPr>
        <w:spacing w:after="0"/>
        <w:ind w:left="360"/>
        <w:rPr>
          <w:rFonts w:ascii="Lato" w:hAnsi="Lato"/>
          <w:sz w:val="20"/>
        </w:rPr>
      </w:pPr>
      <w:r w:rsidRPr="00347FB6">
        <w:rPr>
          <w:rFonts w:ascii="Lato" w:hAnsi="Lato"/>
          <w:b/>
          <w:bCs/>
          <w:sz w:val="20"/>
        </w:rPr>
        <w:t>Beneficiary ABA No:</w:t>
      </w:r>
      <w:r>
        <w:rPr>
          <w:rFonts w:ascii="Lato" w:hAnsi="Lato"/>
          <w:sz w:val="20"/>
        </w:rPr>
        <w:t xml:space="preserve">           </w:t>
      </w:r>
      <w:r w:rsidR="00347FB6">
        <w:rPr>
          <w:rFonts w:ascii="Lato" w:hAnsi="Lato"/>
          <w:sz w:val="20"/>
        </w:rPr>
        <w:t xml:space="preserve">           </w:t>
      </w:r>
      <w:r>
        <w:rPr>
          <w:rFonts w:ascii="Lato" w:hAnsi="Lato"/>
          <w:sz w:val="20"/>
        </w:rPr>
        <w:t>026013576</w:t>
      </w:r>
    </w:p>
    <w:p w14:paraId="0193000A" w14:textId="1F556F65" w:rsidR="00BD3763" w:rsidRDefault="00BD3763" w:rsidP="00BD3763">
      <w:pPr>
        <w:spacing w:after="0"/>
        <w:ind w:left="360"/>
        <w:rPr>
          <w:rFonts w:ascii="Lato" w:hAnsi="Lato"/>
          <w:sz w:val="20"/>
        </w:rPr>
      </w:pPr>
      <w:r w:rsidRPr="00347FB6">
        <w:rPr>
          <w:rFonts w:ascii="Lato" w:hAnsi="Lato"/>
          <w:b/>
          <w:bCs/>
          <w:sz w:val="20"/>
        </w:rPr>
        <w:t>Beneficiary Bank Swift Code:</w:t>
      </w:r>
      <w:r>
        <w:rPr>
          <w:rFonts w:ascii="Lato" w:hAnsi="Lato"/>
          <w:sz w:val="20"/>
        </w:rPr>
        <w:t xml:space="preserve"> </w:t>
      </w:r>
      <w:r w:rsidR="00347FB6">
        <w:rPr>
          <w:rFonts w:ascii="Lato" w:hAnsi="Lato"/>
          <w:sz w:val="20"/>
        </w:rPr>
        <w:t xml:space="preserve">      SIGNUS33</w:t>
      </w:r>
    </w:p>
    <w:p w14:paraId="7068B146" w14:textId="388FFEEC" w:rsidR="00347FB6" w:rsidRDefault="00347FB6" w:rsidP="00BD3763">
      <w:pPr>
        <w:spacing w:after="0"/>
        <w:ind w:left="360"/>
        <w:rPr>
          <w:rFonts w:ascii="Lato" w:hAnsi="Lato"/>
          <w:sz w:val="20"/>
        </w:rPr>
      </w:pPr>
      <w:r w:rsidRPr="00347FB6">
        <w:rPr>
          <w:rFonts w:ascii="Lato" w:hAnsi="Lato"/>
          <w:b/>
          <w:bCs/>
          <w:sz w:val="20"/>
        </w:rPr>
        <w:t>Beneficiary Account no:</w:t>
      </w:r>
      <w:r>
        <w:rPr>
          <w:rFonts w:ascii="Lato" w:hAnsi="Lato"/>
          <w:sz w:val="20"/>
        </w:rPr>
        <w:t xml:space="preserve">               1505722589</w:t>
      </w:r>
    </w:p>
    <w:p w14:paraId="2B2D12DC" w14:textId="71149F60" w:rsidR="00347FB6" w:rsidRDefault="00347FB6" w:rsidP="00BD3763">
      <w:pPr>
        <w:spacing w:after="0"/>
        <w:ind w:left="360"/>
        <w:rPr>
          <w:rFonts w:ascii="Lato" w:hAnsi="Lato"/>
          <w:sz w:val="20"/>
        </w:rPr>
      </w:pPr>
      <w:r w:rsidRPr="00347FB6">
        <w:rPr>
          <w:rFonts w:ascii="Lato" w:hAnsi="Lato"/>
          <w:b/>
          <w:bCs/>
          <w:sz w:val="20"/>
        </w:rPr>
        <w:t>Beneficiary Name:</w:t>
      </w:r>
      <w:r>
        <w:rPr>
          <w:rFonts w:ascii="Lato" w:hAnsi="Lato"/>
          <w:sz w:val="20"/>
        </w:rPr>
        <w:t xml:space="preserve">                         PINKRIBBON INC</w:t>
      </w:r>
    </w:p>
    <w:p w14:paraId="1EB12A39" w14:textId="3F330EB3" w:rsidR="00347FB6" w:rsidRDefault="00347FB6" w:rsidP="00BD3763">
      <w:pPr>
        <w:spacing w:after="0"/>
        <w:ind w:left="360"/>
        <w:rPr>
          <w:rFonts w:ascii="Lato" w:hAnsi="Lato"/>
          <w:sz w:val="20"/>
        </w:rPr>
      </w:pPr>
      <w:r w:rsidRPr="00347FB6">
        <w:rPr>
          <w:rFonts w:ascii="Lato" w:hAnsi="Lato"/>
          <w:b/>
          <w:bCs/>
          <w:sz w:val="20"/>
        </w:rPr>
        <w:t>Beneficiary Address:</w:t>
      </w:r>
      <w:r>
        <w:rPr>
          <w:rFonts w:ascii="Lato" w:hAnsi="Lato"/>
          <w:sz w:val="20"/>
        </w:rPr>
        <w:t xml:space="preserve">                     3000 Marcus Ave</w:t>
      </w:r>
    </w:p>
    <w:p w14:paraId="05D150C5" w14:textId="24C7C75D" w:rsidR="00347FB6" w:rsidRDefault="00347FB6" w:rsidP="00BD3763">
      <w:pPr>
        <w:spacing w:after="0"/>
        <w:ind w:left="360"/>
        <w:rPr>
          <w:rFonts w:ascii="Lato" w:hAnsi="Lato"/>
          <w:sz w:val="20"/>
        </w:rPr>
      </w:pPr>
      <w:r>
        <w:rPr>
          <w:rFonts w:ascii="Lato" w:hAnsi="Lato"/>
          <w:sz w:val="20"/>
        </w:rPr>
        <w:t xml:space="preserve">                                                         Site1 N5</w:t>
      </w:r>
    </w:p>
    <w:p w14:paraId="01DCDDC8" w14:textId="05002192" w:rsidR="00347FB6" w:rsidRDefault="00347FB6" w:rsidP="00BD3763">
      <w:pPr>
        <w:spacing w:after="0"/>
        <w:ind w:left="360"/>
        <w:rPr>
          <w:rFonts w:ascii="Lato" w:hAnsi="Lato"/>
          <w:sz w:val="20"/>
        </w:rPr>
      </w:pPr>
      <w:r>
        <w:rPr>
          <w:rFonts w:ascii="Lato" w:hAnsi="Lato"/>
          <w:sz w:val="20"/>
        </w:rPr>
        <w:t xml:space="preserve">                                                        New Hyde Park</w:t>
      </w:r>
    </w:p>
    <w:p w14:paraId="1F166053" w14:textId="1F380890" w:rsidR="00347FB6" w:rsidRDefault="00347FB6" w:rsidP="00BD3763">
      <w:pPr>
        <w:spacing w:after="0"/>
        <w:ind w:left="360"/>
        <w:rPr>
          <w:rFonts w:ascii="Lato" w:hAnsi="Lato"/>
          <w:sz w:val="20"/>
        </w:rPr>
      </w:pPr>
      <w:r>
        <w:rPr>
          <w:rFonts w:ascii="Lato" w:hAnsi="Lato"/>
          <w:sz w:val="20"/>
        </w:rPr>
        <w:t xml:space="preserve">                                                        NY 11042</w:t>
      </w:r>
    </w:p>
    <w:p w14:paraId="12499337" w14:textId="77777777" w:rsidR="00347FB6" w:rsidRDefault="00347FB6" w:rsidP="00BD3763">
      <w:pPr>
        <w:spacing w:after="0"/>
        <w:ind w:left="360"/>
        <w:rPr>
          <w:rFonts w:ascii="Lato" w:hAnsi="Lato"/>
          <w:sz w:val="20"/>
        </w:rPr>
      </w:pPr>
    </w:p>
    <w:p w14:paraId="2504BD65" w14:textId="28527FFB" w:rsidR="00347FB6" w:rsidRDefault="00347FB6" w:rsidP="00347FB6">
      <w:pPr>
        <w:ind w:left="360"/>
        <w:rPr>
          <w:rFonts w:ascii="Lato" w:hAnsi="Lato"/>
          <w:sz w:val="20"/>
        </w:rPr>
      </w:pPr>
      <w:r w:rsidRPr="00347FB6">
        <w:rPr>
          <w:rFonts w:ascii="Lato" w:hAnsi="Lato"/>
          <w:b/>
          <w:bCs/>
          <w:sz w:val="20"/>
        </w:rPr>
        <w:t>Contact:</w:t>
      </w:r>
      <w:r>
        <w:rPr>
          <w:rFonts w:ascii="Lato" w:hAnsi="Lato"/>
          <w:sz w:val="20"/>
        </w:rPr>
        <w:t xml:space="preserve">                                         </w:t>
      </w:r>
      <w:hyperlink r:id="rId8" w:history="1">
        <w:r w:rsidRPr="00B2682E">
          <w:rPr>
            <w:rStyle w:val="Hyperlink"/>
            <w:rFonts w:ascii="Lato" w:hAnsi="Lato"/>
            <w:sz w:val="20"/>
          </w:rPr>
          <w:t>info@pinkribbon.org</w:t>
        </w:r>
      </w:hyperlink>
    </w:p>
    <w:p w14:paraId="49E3A291" w14:textId="692E461A" w:rsidR="00347FB6" w:rsidRPr="00E51FC3" w:rsidRDefault="00347FB6" w:rsidP="00347FB6">
      <w:pPr>
        <w:ind w:left="360"/>
        <w:rPr>
          <w:rFonts w:ascii="Lato" w:hAnsi="Lato"/>
          <w:sz w:val="20"/>
        </w:rPr>
      </w:pPr>
      <w:r w:rsidRPr="00347FB6">
        <w:rPr>
          <w:rFonts w:ascii="Lato" w:hAnsi="Lato"/>
          <w:b/>
          <w:bCs/>
          <w:sz w:val="20"/>
        </w:rPr>
        <w:t xml:space="preserve">Telephone:  </w:t>
      </w:r>
      <w:r>
        <w:rPr>
          <w:rFonts w:ascii="Lato" w:hAnsi="Lato"/>
          <w:sz w:val="20"/>
        </w:rPr>
        <w:t xml:space="preserve">                                  </w:t>
      </w:r>
      <w:r w:rsidRPr="00E51FC3">
        <w:rPr>
          <w:rFonts w:ascii="Lato" w:hAnsi="Lato"/>
          <w:sz w:val="20"/>
        </w:rPr>
        <w:t>+1 646 4800 674</w:t>
      </w:r>
      <w:r w:rsidRPr="00E51FC3">
        <w:rPr>
          <w:rFonts w:ascii="Lato" w:hAnsi="Lato"/>
          <w:sz w:val="20"/>
        </w:rPr>
        <w:br/>
      </w:r>
      <w:r w:rsidRPr="00347FB6">
        <w:rPr>
          <w:rFonts w:ascii="Lato" w:hAnsi="Lato"/>
          <w:b/>
          <w:bCs/>
          <w:sz w:val="20"/>
        </w:rPr>
        <w:t>Global What’s App</w:t>
      </w:r>
      <w:r>
        <w:rPr>
          <w:rFonts w:ascii="Lato" w:hAnsi="Lato"/>
          <w:b/>
          <w:bCs/>
          <w:sz w:val="20"/>
        </w:rPr>
        <w:t>:</w:t>
      </w:r>
      <w:r w:rsidRPr="00E51FC3">
        <w:rPr>
          <w:rFonts w:ascii="Lato" w:hAnsi="Lato"/>
          <w:sz w:val="20"/>
        </w:rPr>
        <w:t xml:space="preserve"> </w:t>
      </w:r>
      <w:r>
        <w:rPr>
          <w:rFonts w:ascii="Lato" w:hAnsi="Lato"/>
          <w:sz w:val="20"/>
        </w:rPr>
        <w:t xml:space="preserve">                     </w:t>
      </w:r>
      <w:r w:rsidRPr="00E51FC3">
        <w:rPr>
          <w:rFonts w:ascii="Lato" w:hAnsi="Lato"/>
          <w:sz w:val="20"/>
        </w:rPr>
        <w:t>+44(0) 7377 147518</w:t>
      </w:r>
    </w:p>
    <w:p w14:paraId="255B5D8B" w14:textId="77777777" w:rsidR="00BD3763" w:rsidRPr="00E51FC3" w:rsidRDefault="00BD3763" w:rsidP="00E51FC3">
      <w:pPr>
        <w:ind w:left="360"/>
        <w:rPr>
          <w:rFonts w:ascii="Lato" w:hAnsi="Lato"/>
          <w:sz w:val="20"/>
        </w:rPr>
      </w:pPr>
    </w:p>
    <w:p w14:paraId="5F4B62F0" w14:textId="77777777" w:rsidR="00B72CAB" w:rsidRPr="00E51FC3" w:rsidRDefault="00B72CAB" w:rsidP="00E51FC3">
      <w:pPr>
        <w:rPr>
          <w:rFonts w:ascii="Lato" w:hAnsi="Lato"/>
        </w:rPr>
      </w:pPr>
    </w:p>
    <w:p w14:paraId="6A1F6E3F" w14:textId="77777777" w:rsidR="008F7674" w:rsidRPr="00E51FC3" w:rsidRDefault="009720FE" w:rsidP="00E51FC3">
      <w:pPr>
        <w:pStyle w:val="Heading1"/>
        <w:ind w:left="360"/>
        <w:rPr>
          <w:rFonts w:ascii="Lato" w:hAnsi="Lato"/>
          <w:color w:val="auto"/>
        </w:rPr>
      </w:pPr>
      <w:r w:rsidRPr="00E51FC3">
        <w:rPr>
          <w:rFonts w:ascii="Lato" w:hAnsi="Lato"/>
          <w:color w:val="auto"/>
        </w:rPr>
        <w:t>5. Whistleblower Policy</w:t>
      </w:r>
    </w:p>
    <w:p w14:paraId="52D557A7" w14:textId="77777777" w:rsidR="009720FE" w:rsidRPr="00E51FC3" w:rsidRDefault="009720FE" w:rsidP="00E51FC3">
      <w:pPr>
        <w:rPr>
          <w:rFonts w:ascii="Lato" w:hAnsi="Lato"/>
        </w:rPr>
      </w:pPr>
    </w:p>
    <w:p w14:paraId="5D9089AB" w14:textId="77777777" w:rsidR="008F7674" w:rsidRPr="00E51FC3" w:rsidRDefault="009720FE" w:rsidP="00E51FC3">
      <w:pPr>
        <w:ind w:left="360"/>
        <w:rPr>
          <w:rFonts w:ascii="Lato" w:hAnsi="Lato"/>
        </w:rPr>
      </w:pPr>
      <w:r w:rsidRPr="00E51FC3">
        <w:rPr>
          <w:rFonts w:ascii="Lato" w:hAnsi="Lato"/>
        </w:rPr>
        <w:t>In accordance with New York Nonprofit Revitalization Act requirements:</w:t>
      </w:r>
    </w:p>
    <w:p w14:paraId="0CFE4376" w14:textId="77777777" w:rsidR="003A1070" w:rsidRPr="00E51FC3" w:rsidRDefault="003A1070" w:rsidP="00E51FC3">
      <w:pPr>
        <w:rPr>
          <w:rFonts w:ascii="Lato" w:hAnsi="Lato"/>
        </w:rPr>
      </w:pPr>
    </w:p>
    <w:p w14:paraId="116EAD48" w14:textId="77777777" w:rsidR="003A1070" w:rsidRPr="00E51FC3" w:rsidRDefault="003A1070" w:rsidP="00E51FC3">
      <w:pPr>
        <w:rPr>
          <w:rFonts w:ascii="Lato" w:hAnsi="Lato"/>
        </w:rPr>
      </w:pPr>
    </w:p>
    <w:p w14:paraId="5DFA6B76" w14:textId="382C864D" w:rsidR="008F7674" w:rsidRPr="00D021DC" w:rsidRDefault="009720FE" w:rsidP="00D021DC">
      <w:pPr>
        <w:pStyle w:val="ListParagraph"/>
        <w:numPr>
          <w:ilvl w:val="0"/>
          <w:numId w:val="14"/>
        </w:numPr>
        <w:rPr>
          <w:rFonts w:ascii="Lato" w:hAnsi="Lato"/>
        </w:rPr>
      </w:pPr>
      <w:r w:rsidRPr="00D021DC">
        <w:rPr>
          <w:rFonts w:ascii="Lato" w:hAnsi="Lato"/>
          <w:b/>
          <w:bCs/>
        </w:rPr>
        <w:t>Right to Report:</w:t>
      </w:r>
      <w:r w:rsidRPr="00D021DC">
        <w:rPr>
          <w:rFonts w:ascii="Lato" w:hAnsi="Lato"/>
        </w:rPr>
        <w:t xml:space="preserve"> Any director, employee, or volunteer may report concerns about financial improprieties, illegal activity, or violations of organizational policy without fear of retaliation.</w:t>
      </w:r>
    </w:p>
    <w:p w14:paraId="6AF97292" w14:textId="1229ED00" w:rsidR="008F7674" w:rsidRPr="00D021DC" w:rsidRDefault="009720FE" w:rsidP="00D021DC">
      <w:pPr>
        <w:pStyle w:val="ListParagraph"/>
        <w:numPr>
          <w:ilvl w:val="0"/>
          <w:numId w:val="14"/>
        </w:numPr>
        <w:rPr>
          <w:rFonts w:ascii="Lato" w:hAnsi="Lato"/>
        </w:rPr>
      </w:pPr>
      <w:r w:rsidRPr="00D021DC">
        <w:rPr>
          <w:rFonts w:ascii="Lato" w:hAnsi="Lato"/>
          <w:b/>
          <w:bCs/>
        </w:rPr>
        <w:t xml:space="preserve">Confidential Channels: </w:t>
      </w:r>
      <w:r w:rsidRPr="00D021DC">
        <w:rPr>
          <w:rFonts w:ascii="Lato" w:hAnsi="Lato"/>
        </w:rPr>
        <w:t>Reports can be made via [compliance hotline/email/online form]. Reports are reviewed by the Audit/Compliance Committee of the Board.</w:t>
      </w:r>
    </w:p>
    <w:p w14:paraId="7EAD29AC" w14:textId="4A40B516" w:rsidR="008F7674" w:rsidRDefault="009720FE" w:rsidP="00D021DC">
      <w:pPr>
        <w:pStyle w:val="ListParagraph"/>
        <w:numPr>
          <w:ilvl w:val="0"/>
          <w:numId w:val="14"/>
        </w:numPr>
        <w:rPr>
          <w:rFonts w:ascii="Lato" w:hAnsi="Lato"/>
        </w:rPr>
      </w:pPr>
      <w:r w:rsidRPr="00D021DC">
        <w:rPr>
          <w:rFonts w:ascii="Lato" w:hAnsi="Lato"/>
          <w:b/>
          <w:bCs/>
        </w:rPr>
        <w:t>Anti-Retaliation:</w:t>
      </w:r>
      <w:r w:rsidRPr="00D021DC">
        <w:rPr>
          <w:rFonts w:ascii="Lato" w:hAnsi="Lato"/>
        </w:rPr>
        <w:t xml:space="preserve"> Retaliation against whistleblowers is strictly prohibited and grounds for disciplinary action.</w:t>
      </w:r>
    </w:p>
    <w:p w14:paraId="2C42DE1D" w14:textId="77777777" w:rsidR="00D021DC" w:rsidRDefault="00D021DC" w:rsidP="00D021DC">
      <w:pPr>
        <w:rPr>
          <w:rFonts w:ascii="Lato" w:hAnsi="Lato"/>
        </w:rPr>
      </w:pPr>
    </w:p>
    <w:p w14:paraId="0E47D738" w14:textId="77777777" w:rsidR="00D021DC" w:rsidRDefault="00D021DC" w:rsidP="00D021DC">
      <w:pPr>
        <w:rPr>
          <w:rFonts w:ascii="Lato" w:hAnsi="Lato"/>
        </w:rPr>
      </w:pPr>
    </w:p>
    <w:p w14:paraId="3EEEF69B" w14:textId="77777777" w:rsidR="00D021DC" w:rsidRDefault="00D021DC" w:rsidP="00D021DC">
      <w:pPr>
        <w:rPr>
          <w:rFonts w:ascii="Lato" w:hAnsi="Lato"/>
        </w:rPr>
      </w:pPr>
    </w:p>
    <w:p w14:paraId="2F1E479A" w14:textId="77777777" w:rsidR="00D021DC" w:rsidRPr="00D021DC" w:rsidRDefault="00D021DC" w:rsidP="00D021DC">
      <w:pPr>
        <w:rPr>
          <w:rFonts w:ascii="Lato" w:hAnsi="Lato"/>
        </w:rPr>
      </w:pPr>
    </w:p>
    <w:p w14:paraId="54249535" w14:textId="77777777" w:rsidR="008F7674" w:rsidRPr="00E51FC3" w:rsidRDefault="009720FE" w:rsidP="00E51FC3">
      <w:pPr>
        <w:pStyle w:val="Heading1"/>
        <w:ind w:left="360"/>
        <w:rPr>
          <w:rFonts w:ascii="Lato" w:hAnsi="Lato"/>
          <w:color w:val="auto"/>
        </w:rPr>
      </w:pPr>
      <w:r w:rsidRPr="00E51FC3">
        <w:rPr>
          <w:rFonts w:ascii="Lato" w:hAnsi="Lato"/>
          <w:color w:val="auto"/>
        </w:rPr>
        <w:t>6. Financial &amp; Regulatory Transparency</w:t>
      </w:r>
    </w:p>
    <w:p w14:paraId="1A7CF77C" w14:textId="77777777" w:rsidR="009720FE" w:rsidRPr="00E51FC3" w:rsidRDefault="009720FE" w:rsidP="00E51FC3">
      <w:pPr>
        <w:rPr>
          <w:rFonts w:ascii="Lato" w:hAnsi="Lato"/>
        </w:rPr>
      </w:pPr>
    </w:p>
    <w:p w14:paraId="472F12BC" w14:textId="77777777" w:rsidR="008F7674" w:rsidRPr="00E51FC3" w:rsidRDefault="009720FE" w:rsidP="00E51FC3">
      <w:pPr>
        <w:ind w:left="360"/>
        <w:rPr>
          <w:rFonts w:ascii="Lato" w:hAnsi="Lato"/>
        </w:rPr>
      </w:pPr>
      <w:r w:rsidRPr="00E51FC3">
        <w:rPr>
          <w:rFonts w:ascii="Lato" w:hAnsi="Lato"/>
        </w:rPr>
        <w:t>To comply with IRS and New York Charities Bureau regulations, PinkRibbon International commits to full transparency:</w:t>
      </w:r>
    </w:p>
    <w:p w14:paraId="73EE8318" w14:textId="529BA0ED" w:rsidR="008F7674" w:rsidRPr="00D021DC" w:rsidRDefault="009720FE" w:rsidP="00D021DC">
      <w:pPr>
        <w:pStyle w:val="ListParagraph"/>
        <w:numPr>
          <w:ilvl w:val="0"/>
          <w:numId w:val="15"/>
        </w:numPr>
        <w:rPr>
          <w:rFonts w:ascii="Lato" w:hAnsi="Lato"/>
        </w:rPr>
      </w:pPr>
      <w:r w:rsidRPr="00D021DC">
        <w:rPr>
          <w:rFonts w:ascii="Lato" w:hAnsi="Lato"/>
          <w:b/>
          <w:bCs/>
        </w:rPr>
        <w:t>IRS Filings:</w:t>
      </w:r>
      <w:r w:rsidRPr="00D021DC">
        <w:rPr>
          <w:rFonts w:ascii="Lato" w:hAnsi="Lato"/>
        </w:rPr>
        <w:t xml:space="preserve"> Annual IRS Form 990 will be made publicly available.</w:t>
      </w:r>
    </w:p>
    <w:p w14:paraId="202836E4" w14:textId="5AF4B9E1" w:rsidR="008F7674" w:rsidRPr="00D021DC" w:rsidRDefault="009720FE" w:rsidP="00D021DC">
      <w:pPr>
        <w:pStyle w:val="ListParagraph"/>
        <w:numPr>
          <w:ilvl w:val="0"/>
          <w:numId w:val="15"/>
        </w:numPr>
        <w:rPr>
          <w:rFonts w:ascii="Lato" w:hAnsi="Lato"/>
        </w:rPr>
      </w:pPr>
      <w:r w:rsidRPr="00D021DC">
        <w:rPr>
          <w:rFonts w:ascii="Lato" w:hAnsi="Lato"/>
          <w:b/>
          <w:bCs/>
        </w:rPr>
        <w:t>Audited Statements:</w:t>
      </w:r>
      <w:r w:rsidRPr="00D021DC">
        <w:rPr>
          <w:rFonts w:ascii="Lato" w:hAnsi="Lato"/>
        </w:rPr>
        <w:t xml:space="preserve"> Independent audited financial statements will be published annually.</w:t>
      </w:r>
    </w:p>
    <w:p w14:paraId="41CE9661" w14:textId="20143B43" w:rsidR="008F7674" w:rsidRPr="00D021DC" w:rsidRDefault="009720FE" w:rsidP="00D021DC">
      <w:pPr>
        <w:pStyle w:val="ListParagraph"/>
        <w:numPr>
          <w:ilvl w:val="0"/>
          <w:numId w:val="15"/>
        </w:numPr>
        <w:rPr>
          <w:rFonts w:ascii="Lato" w:hAnsi="Lato"/>
        </w:rPr>
      </w:pPr>
      <w:r w:rsidRPr="00D021DC">
        <w:rPr>
          <w:rFonts w:ascii="Lato" w:hAnsi="Lato"/>
          <w:b/>
          <w:bCs/>
        </w:rPr>
        <w:t>Annual Report:</w:t>
      </w:r>
      <w:r w:rsidRPr="00D021DC">
        <w:rPr>
          <w:rFonts w:ascii="Lato" w:hAnsi="Lato"/>
        </w:rPr>
        <w:t xml:space="preserve"> Program impact, fundraising breakdown, and governance practices will be reported each fiscal year.</w:t>
      </w:r>
    </w:p>
    <w:p w14:paraId="2D6BE101" w14:textId="74DBB4C4" w:rsidR="008F7674" w:rsidRPr="00D021DC" w:rsidRDefault="009720FE" w:rsidP="00D021DC">
      <w:pPr>
        <w:pStyle w:val="ListParagraph"/>
        <w:numPr>
          <w:ilvl w:val="0"/>
          <w:numId w:val="15"/>
        </w:numPr>
        <w:rPr>
          <w:rFonts w:ascii="Lato" w:hAnsi="Lato"/>
        </w:rPr>
      </w:pPr>
      <w:r w:rsidRPr="00D021DC">
        <w:rPr>
          <w:rFonts w:ascii="Lato" w:hAnsi="Lato"/>
          <w:b/>
          <w:bCs/>
        </w:rPr>
        <w:t>Donor Bill of Rights:</w:t>
      </w:r>
      <w:r w:rsidRPr="00D021DC">
        <w:rPr>
          <w:rFonts w:ascii="Lato" w:hAnsi="Lato"/>
        </w:rPr>
        <w:t xml:space="preserve"> Donors will be </w:t>
      </w:r>
      <w:r w:rsidR="00D021DC" w:rsidRPr="00D021DC">
        <w:rPr>
          <w:rFonts w:ascii="Lato" w:hAnsi="Lato"/>
        </w:rPr>
        <w:t>provided with</w:t>
      </w:r>
      <w:r w:rsidRPr="00D021DC">
        <w:rPr>
          <w:rFonts w:ascii="Lato" w:hAnsi="Lato"/>
        </w:rPr>
        <w:t xml:space="preserve"> transparency on how contributions are allocated and used.</w:t>
      </w:r>
    </w:p>
    <w:p w14:paraId="1EA3AE12" w14:textId="77777777" w:rsidR="00B72CAB" w:rsidRPr="00E51FC3" w:rsidRDefault="00B72CAB" w:rsidP="00E51FC3">
      <w:pPr>
        <w:rPr>
          <w:rFonts w:ascii="Lato" w:hAnsi="Lato"/>
        </w:rPr>
      </w:pPr>
    </w:p>
    <w:p w14:paraId="08599FB1" w14:textId="77777777" w:rsidR="00B72CAB" w:rsidRPr="009720FE" w:rsidRDefault="00B72CAB">
      <w:pPr>
        <w:rPr>
          <w:rFonts w:ascii="Lato" w:hAnsi="Lato"/>
          <w:b/>
          <w:bCs/>
        </w:rPr>
      </w:pPr>
      <w:r w:rsidRPr="009720FE">
        <w:rPr>
          <w:rFonts w:ascii="Lato" w:hAnsi="Lato"/>
          <w:b/>
          <w:bCs/>
        </w:rPr>
        <w:t>August 2025</w:t>
      </w:r>
    </w:p>
    <w:p w14:paraId="714FF0C9" w14:textId="77777777" w:rsidR="00B72CAB" w:rsidRPr="009720FE" w:rsidRDefault="00B72CAB">
      <w:pPr>
        <w:rPr>
          <w:rFonts w:ascii="Lato" w:hAnsi="Lato"/>
        </w:rPr>
      </w:pPr>
      <w:r w:rsidRPr="009720FE">
        <w:rPr>
          <w:rFonts w:ascii="Lato" w:hAnsi="Lato"/>
          <w:b/>
          <w:bCs/>
        </w:rPr>
        <w:t xml:space="preserve">Review by   </w:t>
      </w:r>
      <w:r w:rsidRPr="009720FE">
        <w:rPr>
          <w:rFonts w:ascii="Lato" w:hAnsi="Lato"/>
        </w:rPr>
        <w:t xml:space="preserve"> August 2026</w:t>
      </w:r>
    </w:p>
    <w:p w14:paraId="22D544A9" w14:textId="77777777" w:rsidR="00B72CAB" w:rsidRPr="009720FE" w:rsidRDefault="00B72CAB">
      <w:pPr>
        <w:rPr>
          <w:rFonts w:ascii="Lato" w:hAnsi="Lato"/>
        </w:rPr>
      </w:pPr>
      <w:r w:rsidRPr="009720FE">
        <w:rPr>
          <w:rFonts w:ascii="Lato" w:hAnsi="Lato"/>
          <w:b/>
          <w:bCs/>
        </w:rPr>
        <w:t>Approval by</w:t>
      </w:r>
      <w:r w:rsidRPr="009720FE">
        <w:rPr>
          <w:rFonts w:ascii="Lato" w:hAnsi="Lato"/>
        </w:rPr>
        <w:t xml:space="preserve">  PRI Board </w:t>
      </w:r>
    </w:p>
    <w:p w14:paraId="6AB7C1C3" w14:textId="77777777" w:rsidR="00543474" w:rsidRDefault="00543474"/>
    <w:p w14:paraId="41B0FDB4" w14:textId="77777777" w:rsidR="00543474" w:rsidRDefault="00543474"/>
    <w:p w14:paraId="6DCF779F" w14:textId="59194E57" w:rsidR="00543474" w:rsidRDefault="00543474"/>
    <w:sectPr w:rsidR="00543474" w:rsidSect="00034616">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5DF84" w14:textId="77777777" w:rsidR="00B72CAB" w:rsidRDefault="00B72CAB" w:rsidP="00B72CAB">
      <w:pPr>
        <w:spacing w:after="0" w:line="240" w:lineRule="auto"/>
      </w:pPr>
      <w:r>
        <w:separator/>
      </w:r>
    </w:p>
  </w:endnote>
  <w:endnote w:type="continuationSeparator" w:id="0">
    <w:p w14:paraId="7B7F8C2C" w14:textId="77777777" w:rsidR="00B72CAB" w:rsidRDefault="00B72CAB" w:rsidP="00B72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B7761" w14:textId="77777777" w:rsidR="00B72CAB" w:rsidRDefault="00B72CAB" w:rsidP="00B72CAB">
      <w:pPr>
        <w:spacing w:after="0" w:line="240" w:lineRule="auto"/>
      </w:pPr>
      <w:r>
        <w:separator/>
      </w:r>
    </w:p>
  </w:footnote>
  <w:footnote w:type="continuationSeparator" w:id="0">
    <w:p w14:paraId="2A2E15AA" w14:textId="77777777" w:rsidR="00B72CAB" w:rsidRDefault="00B72CAB" w:rsidP="00B72C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A6249" w14:textId="77777777" w:rsidR="00B72CAB" w:rsidRDefault="00B72CAB" w:rsidP="00B72CAB">
    <w:pPr>
      <w:pStyle w:val="Header"/>
      <w:jc w:val="center"/>
    </w:pPr>
    <w:r>
      <w:rPr>
        <w:noProof/>
      </w:rPr>
      <w:drawing>
        <wp:inline distT="0" distB="0" distL="0" distR="0" wp14:anchorId="00C205FE" wp14:editId="2E6C8863">
          <wp:extent cx="1921510" cy="516255"/>
          <wp:effectExtent l="0" t="0" r="2540" b="0"/>
          <wp:docPr id="213643792" name="Picture 2" descr="A logo with text overla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43792" name="Picture 2" descr="A logo with text overlay&#10;&#10;AI-generated content may be incorrect."/>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1510" cy="5162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C3548D0"/>
    <w:multiLevelType w:val="hybridMultilevel"/>
    <w:tmpl w:val="31F638B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D3512CB"/>
    <w:multiLevelType w:val="hybridMultilevel"/>
    <w:tmpl w:val="61FC7F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3CC5605"/>
    <w:multiLevelType w:val="hybridMultilevel"/>
    <w:tmpl w:val="81A6378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F49134C"/>
    <w:multiLevelType w:val="hybridMultilevel"/>
    <w:tmpl w:val="331AD648"/>
    <w:lvl w:ilvl="0" w:tplc="0809000F">
      <w:start w:val="1"/>
      <w:numFmt w:val="decimal"/>
      <w:lvlText w:val="%1."/>
      <w:lvlJc w:val="left"/>
      <w:pPr>
        <w:ind w:left="720" w:hanging="360"/>
      </w:pPr>
    </w:lvl>
    <w:lvl w:ilvl="1" w:tplc="27B6F9A6">
      <w:numFmt w:val="bullet"/>
      <w:lvlText w:val="-"/>
      <w:lvlJc w:val="left"/>
      <w:pPr>
        <w:ind w:left="1440" w:hanging="360"/>
      </w:pPr>
      <w:rPr>
        <w:rFonts w:ascii="Lato" w:eastAsiaTheme="minorEastAsia" w:hAnsi="Lato"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2A3BC0"/>
    <w:multiLevelType w:val="hybridMultilevel"/>
    <w:tmpl w:val="A93013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0A1900"/>
    <w:multiLevelType w:val="hybridMultilevel"/>
    <w:tmpl w:val="81C84F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400909510">
    <w:abstractNumId w:val="8"/>
  </w:num>
  <w:num w:numId="2" w16cid:durableId="1738629027">
    <w:abstractNumId w:val="6"/>
  </w:num>
  <w:num w:numId="3" w16cid:durableId="1629431974">
    <w:abstractNumId w:val="5"/>
  </w:num>
  <w:num w:numId="4" w16cid:durableId="1178350850">
    <w:abstractNumId w:val="4"/>
  </w:num>
  <w:num w:numId="5" w16cid:durableId="1616908404">
    <w:abstractNumId w:val="7"/>
  </w:num>
  <w:num w:numId="6" w16cid:durableId="4794748">
    <w:abstractNumId w:val="3"/>
  </w:num>
  <w:num w:numId="7" w16cid:durableId="1139149530">
    <w:abstractNumId w:val="2"/>
  </w:num>
  <w:num w:numId="8" w16cid:durableId="455567909">
    <w:abstractNumId w:val="1"/>
  </w:num>
  <w:num w:numId="9" w16cid:durableId="807476293">
    <w:abstractNumId w:val="0"/>
  </w:num>
  <w:num w:numId="10" w16cid:durableId="51848679">
    <w:abstractNumId w:val="13"/>
  </w:num>
  <w:num w:numId="11" w16cid:durableId="1570577914">
    <w:abstractNumId w:val="12"/>
  </w:num>
  <w:num w:numId="12" w16cid:durableId="1713799024">
    <w:abstractNumId w:val="10"/>
  </w:num>
  <w:num w:numId="13" w16cid:durableId="1310592431">
    <w:abstractNumId w:val="9"/>
  </w:num>
  <w:num w:numId="14" w16cid:durableId="674263262">
    <w:abstractNumId w:val="11"/>
  </w:num>
  <w:num w:numId="15" w16cid:durableId="18997086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47FB6"/>
    <w:rsid w:val="003A1070"/>
    <w:rsid w:val="00543474"/>
    <w:rsid w:val="00613B9A"/>
    <w:rsid w:val="00726405"/>
    <w:rsid w:val="008F7674"/>
    <w:rsid w:val="009720FE"/>
    <w:rsid w:val="00AA1D8D"/>
    <w:rsid w:val="00B47730"/>
    <w:rsid w:val="00B72CAB"/>
    <w:rsid w:val="00BD3763"/>
    <w:rsid w:val="00CB0664"/>
    <w:rsid w:val="00D021DC"/>
    <w:rsid w:val="00E51FC3"/>
    <w:rsid w:val="00EC4A5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C4E32B"/>
  <w14:defaultImageDpi w14:val="300"/>
  <w15:docId w15:val="{BC7A33AF-E4E4-42CD-ADCA-56BFDF17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9720FE"/>
    <w:rPr>
      <w:color w:val="0000FF" w:themeColor="hyperlink"/>
      <w:u w:val="single"/>
    </w:rPr>
  </w:style>
  <w:style w:type="character" w:styleId="UnresolvedMention">
    <w:name w:val="Unresolved Mention"/>
    <w:basedOn w:val="DefaultParagraphFont"/>
    <w:uiPriority w:val="99"/>
    <w:semiHidden/>
    <w:unhideWhenUsed/>
    <w:rsid w:val="00972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inkribbon.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Fionnuala Shannon</cp:lastModifiedBy>
  <cp:revision>3</cp:revision>
  <dcterms:created xsi:type="dcterms:W3CDTF">2025-08-22T12:13:00Z</dcterms:created>
  <dcterms:modified xsi:type="dcterms:W3CDTF">2025-08-22T12:14:00Z</dcterms:modified>
  <cp:category/>
</cp:coreProperties>
</file>