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A44A" w14:textId="77777777" w:rsidR="00A474FE" w:rsidRPr="00A474FE" w:rsidRDefault="00A474FE" w:rsidP="00A474FE">
      <w:pPr>
        <w:rPr>
          <w:b/>
          <w:bCs/>
          <w:sz w:val="52"/>
          <w:szCs w:val="52"/>
        </w:rPr>
      </w:pPr>
      <w:r w:rsidRPr="00A474FE">
        <w:rPr>
          <w:b/>
          <w:bCs/>
          <w:sz w:val="52"/>
          <w:szCs w:val="52"/>
        </w:rPr>
        <w:t>Where does your Donations go?</w:t>
      </w:r>
    </w:p>
    <w:p w14:paraId="7A4779B4" w14:textId="10291F01" w:rsidR="00A474FE" w:rsidRPr="00A474FE" w:rsidRDefault="00A474FE" w:rsidP="00A474FE">
      <w:r w:rsidRPr="00A474FE">
        <w:drawing>
          <wp:inline distT="0" distB="0" distL="0" distR="0" wp14:anchorId="14972682" wp14:editId="05AD0519">
            <wp:extent cx="45053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05325" cy="1209675"/>
                    </a:xfrm>
                    <a:prstGeom prst="rect">
                      <a:avLst/>
                    </a:prstGeom>
                  </pic:spPr>
                </pic:pic>
              </a:graphicData>
            </a:graphic>
          </wp:inline>
        </w:drawing>
      </w:r>
    </w:p>
    <w:p w14:paraId="2314F1E4" w14:textId="77777777" w:rsidR="00A474FE" w:rsidRPr="00A474FE" w:rsidRDefault="00A474FE" w:rsidP="00A474FE">
      <w:r w:rsidRPr="00A474FE">
        <w:t xml:space="preserve"> </w:t>
      </w:r>
    </w:p>
    <w:p w14:paraId="75908946" w14:textId="77777777" w:rsidR="00A474FE" w:rsidRPr="00A474FE" w:rsidRDefault="00A474FE" w:rsidP="00A474FE">
      <w:pPr>
        <w:rPr>
          <w:sz w:val="40"/>
          <w:szCs w:val="40"/>
        </w:rPr>
      </w:pPr>
      <w:r w:rsidRPr="00A474FE">
        <w:rPr>
          <w:b/>
          <w:bCs/>
          <w:sz w:val="40"/>
          <w:szCs w:val="40"/>
        </w:rPr>
        <w:t>Your Gift. Real Impact.</w:t>
      </w:r>
    </w:p>
    <w:p w14:paraId="44EF2D47" w14:textId="77777777" w:rsidR="00A474FE" w:rsidRPr="00A474FE" w:rsidRDefault="00A474FE" w:rsidP="00A474FE">
      <w:r w:rsidRPr="00A474FE">
        <w:rPr>
          <w:b/>
          <w:bCs/>
        </w:rPr>
        <w:t>PRI Research funding — Donor Guide</w:t>
      </w:r>
    </w:p>
    <w:p w14:paraId="26A8D788" w14:textId="77777777" w:rsidR="00A474FE" w:rsidRPr="00A474FE" w:rsidRDefault="00A474FE" w:rsidP="00A474FE">
      <w:r w:rsidRPr="00A474FE">
        <w:t xml:space="preserve">Thank you for considering a gift to </w:t>
      </w:r>
      <w:proofErr w:type="spellStart"/>
      <w:r w:rsidRPr="00A474FE">
        <w:t>PinkRibbon</w:t>
      </w:r>
      <w:proofErr w:type="spellEnd"/>
      <w:r w:rsidRPr="00A474FE">
        <w:t xml:space="preserve"> International Research. Your support helps transform the landscape of female gender-related cancers—improving the lives of women worldwide today while advancing prevention and awareness for generations to come.</w:t>
      </w:r>
    </w:p>
    <w:p w14:paraId="366154F9" w14:textId="77777777" w:rsidR="00A474FE" w:rsidRPr="00A474FE" w:rsidRDefault="00A474FE" w:rsidP="00A474FE">
      <w:r w:rsidRPr="00A474FE">
        <w:t>This below information shows how your donation is used and how we report back to you.</w:t>
      </w:r>
    </w:p>
    <w:p w14:paraId="4F05A2C2" w14:textId="77777777" w:rsidR="00A474FE" w:rsidRPr="00A474FE" w:rsidRDefault="00A474FE" w:rsidP="00A474FE">
      <w:pPr>
        <w:rPr>
          <w:sz w:val="40"/>
          <w:szCs w:val="40"/>
        </w:rPr>
      </w:pPr>
      <w:r w:rsidRPr="00A474FE">
        <w:rPr>
          <w:b/>
          <w:bCs/>
          <w:sz w:val="40"/>
          <w:szCs w:val="40"/>
        </w:rPr>
        <w:t>How Your Donation Is Used</w:t>
      </w:r>
    </w:p>
    <w:p w14:paraId="2641BF33" w14:textId="77777777" w:rsidR="00A474FE" w:rsidRPr="00A474FE" w:rsidRDefault="00A474FE" w:rsidP="00A474FE">
      <w:pPr>
        <w:numPr>
          <w:ilvl w:val="0"/>
          <w:numId w:val="1"/>
        </w:numPr>
      </w:pPr>
      <w:r w:rsidRPr="00A474FE">
        <w:rPr>
          <w:b/>
          <w:bCs/>
        </w:rPr>
        <w:t>85% or more</w:t>
      </w:r>
      <w:r w:rsidRPr="00A474FE">
        <w:t xml:space="preserve"> funds programs and impact.</w:t>
      </w:r>
    </w:p>
    <w:p w14:paraId="4350CF62" w14:textId="77777777" w:rsidR="00A474FE" w:rsidRPr="00A474FE" w:rsidRDefault="00A474FE" w:rsidP="00A474FE">
      <w:pPr>
        <w:numPr>
          <w:ilvl w:val="0"/>
          <w:numId w:val="1"/>
        </w:numPr>
      </w:pPr>
      <w:r w:rsidRPr="00A474FE">
        <w:rPr>
          <w:b/>
          <w:bCs/>
        </w:rPr>
        <w:t>Up to 15%</w:t>
      </w:r>
      <w:r w:rsidRPr="00A474FE">
        <w:t xml:space="preserve"> supports essential operations and fundraising.</w:t>
      </w:r>
      <w:r w:rsidRPr="00A474FE">
        <w:rPr>
          <w:rFonts w:ascii="Tahoma" w:hAnsi="Tahoma" w:cs="Tahoma"/>
        </w:rPr>
        <w:t> </w:t>
      </w:r>
      <w:r w:rsidRPr="00A474FE">
        <w:rPr>
          <w:i/>
          <w:iCs/>
        </w:rPr>
        <w:t>“85/15” means at least 85% to programs, up to 15% to admin &amp; fundraising.</w:t>
      </w:r>
    </w:p>
    <w:p w14:paraId="0E30C3DD" w14:textId="77777777" w:rsidR="00A474FE" w:rsidRPr="00A474FE" w:rsidRDefault="00A474FE" w:rsidP="00A474FE">
      <w:pPr>
        <w:rPr>
          <w:sz w:val="40"/>
          <w:szCs w:val="40"/>
        </w:rPr>
      </w:pPr>
      <w:r w:rsidRPr="00A474FE">
        <w:rPr>
          <w:b/>
          <w:bCs/>
          <w:sz w:val="40"/>
          <w:szCs w:val="40"/>
        </w:rPr>
        <w:t>Where Your Gift / Donation Goes</w:t>
      </w:r>
    </w:p>
    <w:p w14:paraId="7FD69FEA" w14:textId="77777777" w:rsidR="00A474FE" w:rsidRPr="00A474FE" w:rsidRDefault="00A474FE" w:rsidP="00A474FE">
      <w:pPr>
        <w:numPr>
          <w:ilvl w:val="0"/>
          <w:numId w:val="2"/>
        </w:numPr>
      </w:pPr>
      <w:r w:rsidRPr="00A474FE">
        <w:rPr>
          <w:b/>
          <w:bCs/>
        </w:rPr>
        <w:t>PR General (Unrestricted)</w:t>
      </w:r>
    </w:p>
    <w:p w14:paraId="67C1E1C5" w14:textId="77777777" w:rsidR="00A474FE" w:rsidRPr="00A474FE" w:rsidRDefault="00A474FE" w:rsidP="00A474FE">
      <w:pPr>
        <w:numPr>
          <w:ilvl w:val="0"/>
          <w:numId w:val="2"/>
        </w:numPr>
      </w:pPr>
      <w:r w:rsidRPr="00A474FE">
        <w:rPr>
          <w:b/>
          <w:bCs/>
        </w:rPr>
        <w:t>PRI Projects (country campaigns we advertise)</w:t>
      </w:r>
    </w:p>
    <w:p w14:paraId="13FF35E2" w14:textId="77777777" w:rsidR="00A474FE" w:rsidRPr="00A474FE" w:rsidRDefault="00A474FE" w:rsidP="00A474FE">
      <w:pPr>
        <w:numPr>
          <w:ilvl w:val="0"/>
          <w:numId w:val="2"/>
        </w:numPr>
      </w:pPr>
      <w:r w:rsidRPr="00A474FE">
        <w:rPr>
          <w:b/>
          <w:bCs/>
        </w:rPr>
        <w:t>Third-Party Projects — Research &amp; Non-Research</w:t>
      </w:r>
    </w:p>
    <w:p w14:paraId="40C2E77C" w14:textId="77777777" w:rsidR="00A474FE" w:rsidRPr="00A474FE" w:rsidRDefault="00A474FE" w:rsidP="00A474FE">
      <w:pPr>
        <w:numPr>
          <w:ilvl w:val="1"/>
          <w:numId w:val="2"/>
        </w:numPr>
      </w:pPr>
      <w:r w:rsidRPr="00A474FE">
        <w:t xml:space="preserve">PRI may provide </w:t>
      </w:r>
      <w:r w:rsidRPr="00A474FE">
        <w:rPr>
          <w:b/>
          <w:bCs/>
        </w:rPr>
        <w:t>initial financial support</w:t>
      </w:r>
      <w:r w:rsidRPr="00A474FE">
        <w:t xml:space="preserve"> and </w:t>
      </w:r>
      <w:r w:rsidRPr="00A474FE">
        <w:rPr>
          <w:b/>
          <w:bCs/>
        </w:rPr>
        <w:t>extra non-financial support</w:t>
      </w:r>
      <w:r w:rsidRPr="00A474FE">
        <w:t xml:space="preserve"> (advertising/visibility).</w:t>
      </w:r>
    </w:p>
    <w:p w14:paraId="1037455C" w14:textId="77777777" w:rsidR="00A474FE" w:rsidRPr="00A474FE" w:rsidRDefault="00A474FE" w:rsidP="00A474FE">
      <w:pPr>
        <w:numPr>
          <w:ilvl w:val="1"/>
          <w:numId w:val="2"/>
        </w:numPr>
      </w:pPr>
      <w:r w:rsidRPr="00A474FE">
        <w:t xml:space="preserve">For </w:t>
      </w:r>
      <w:r w:rsidRPr="00A474FE">
        <w:rPr>
          <w:b/>
          <w:bCs/>
        </w:rPr>
        <w:t>research</w:t>
      </w:r>
      <w:r w:rsidRPr="00A474FE">
        <w:t xml:space="preserve"> projects, we also </w:t>
      </w:r>
      <w:r w:rsidRPr="00A474FE">
        <w:rPr>
          <w:b/>
          <w:bCs/>
        </w:rPr>
        <w:t>showcase results</w:t>
      </w:r>
      <w:r w:rsidRPr="00A474FE">
        <w:t>.</w:t>
      </w:r>
    </w:p>
    <w:p w14:paraId="336C8E93" w14:textId="77777777" w:rsidR="00A474FE" w:rsidRPr="00A474FE" w:rsidRDefault="00A474FE" w:rsidP="00A474FE">
      <w:pPr>
        <w:rPr>
          <w:sz w:val="40"/>
          <w:szCs w:val="40"/>
        </w:rPr>
      </w:pPr>
      <w:r w:rsidRPr="00A474FE">
        <w:rPr>
          <w:b/>
          <w:bCs/>
          <w:sz w:val="40"/>
          <w:szCs w:val="40"/>
        </w:rPr>
        <w:t>How We Roll Out Projects — Two Phases</w:t>
      </w:r>
    </w:p>
    <w:p w14:paraId="66A66110" w14:textId="77777777" w:rsidR="00A474FE" w:rsidRPr="00A474FE" w:rsidRDefault="00A474FE" w:rsidP="00A474FE">
      <w:r w:rsidRPr="00A474FE">
        <w:rPr>
          <w:b/>
          <w:bCs/>
        </w:rPr>
        <w:lastRenderedPageBreak/>
        <w:t>Phase 1 (First Year):</w:t>
      </w:r>
      <w:r w:rsidRPr="00A474FE">
        <w:t xml:space="preserve"> we list third-party projects on our website in two categories.</w:t>
      </w:r>
    </w:p>
    <w:p w14:paraId="17E67D7A" w14:textId="77777777" w:rsidR="00A474FE" w:rsidRPr="00A474FE" w:rsidRDefault="00A474FE" w:rsidP="00A474FE">
      <w:pPr>
        <w:numPr>
          <w:ilvl w:val="0"/>
          <w:numId w:val="3"/>
        </w:numPr>
      </w:pPr>
      <w:r w:rsidRPr="00A474FE">
        <w:rPr>
          <w:b/>
          <w:bCs/>
        </w:rPr>
        <w:t>Cat 1:</w:t>
      </w:r>
      <w:r w:rsidRPr="00A474FE">
        <w:t xml:space="preserve"> </w:t>
      </w:r>
      <w:r w:rsidRPr="00A474FE">
        <w:rPr>
          <w:b/>
          <w:bCs/>
        </w:rPr>
        <w:t>85% to research / up to 15% to PRI operational funds.</w:t>
      </w:r>
    </w:p>
    <w:p w14:paraId="006882EC" w14:textId="77777777" w:rsidR="00A474FE" w:rsidRPr="00A474FE" w:rsidRDefault="00A474FE" w:rsidP="00A474FE">
      <w:pPr>
        <w:numPr>
          <w:ilvl w:val="0"/>
          <w:numId w:val="3"/>
        </w:numPr>
      </w:pPr>
      <w:r w:rsidRPr="00A474FE">
        <w:rPr>
          <w:b/>
          <w:bCs/>
        </w:rPr>
        <w:t>Cat 2:</w:t>
      </w:r>
      <w:r w:rsidRPr="00A474FE">
        <w:t xml:space="preserve"> </w:t>
      </w:r>
      <w:r w:rsidRPr="00A474FE">
        <w:rPr>
          <w:b/>
          <w:bCs/>
        </w:rPr>
        <w:t>Flexible use of the 85%.</w:t>
      </w:r>
      <w:r w:rsidRPr="00A474FE">
        <w:t xml:space="preserve"> Some country campaigns may not need the full 85% or PRI may wish to donate a specific amount.</w:t>
      </w:r>
    </w:p>
    <w:p w14:paraId="447343CB" w14:textId="77777777" w:rsidR="00A474FE" w:rsidRPr="00A474FE" w:rsidRDefault="00A474FE" w:rsidP="00A474FE">
      <w:pPr>
        <w:numPr>
          <w:ilvl w:val="0"/>
          <w:numId w:val="3"/>
        </w:numPr>
      </w:pPr>
      <w:r w:rsidRPr="00A474FE">
        <w:t xml:space="preserve">We fund </w:t>
      </w:r>
      <w:r w:rsidRPr="00A474FE">
        <w:rPr>
          <w:b/>
          <w:bCs/>
        </w:rPr>
        <w:t>up to the amount required</w:t>
      </w:r>
      <w:r w:rsidRPr="00A474FE">
        <w:t xml:space="preserve">, and any </w:t>
      </w:r>
      <w:r w:rsidRPr="00A474FE">
        <w:rPr>
          <w:b/>
          <w:bCs/>
        </w:rPr>
        <w:t>unused part of that 85%</w:t>
      </w:r>
      <w:r w:rsidRPr="00A474FE">
        <w:t xml:space="preserve"> at the end of the financial year moves to the </w:t>
      </w:r>
      <w:r w:rsidRPr="00A474FE">
        <w:rPr>
          <w:b/>
          <w:bCs/>
        </w:rPr>
        <w:t>PRI General Fund</w:t>
      </w:r>
      <w:r w:rsidRPr="00A474FE">
        <w:t xml:space="preserve"> for </w:t>
      </w:r>
      <w:r w:rsidRPr="00A474FE">
        <w:rPr>
          <w:b/>
          <w:bCs/>
        </w:rPr>
        <w:t xml:space="preserve">PRI-identified global </w:t>
      </w:r>
      <w:proofErr w:type="spellStart"/>
      <w:r w:rsidRPr="00A474FE">
        <w:rPr>
          <w:b/>
          <w:bCs/>
        </w:rPr>
        <w:t>FgrC</w:t>
      </w:r>
      <w:proofErr w:type="spellEnd"/>
      <w:r w:rsidRPr="00A474FE">
        <w:rPr>
          <w:b/>
          <w:bCs/>
        </w:rPr>
        <w:t xml:space="preserve"> research grants</w:t>
      </w:r>
      <w:r w:rsidRPr="00A474FE">
        <w:t>.</w:t>
      </w:r>
      <w:r w:rsidRPr="00A474FE">
        <w:rPr>
          <w:rFonts w:ascii="Tahoma" w:hAnsi="Tahoma" w:cs="Tahoma"/>
        </w:rPr>
        <w:t> </w:t>
      </w:r>
      <w:r w:rsidRPr="00A474FE">
        <w:rPr>
          <w:i/>
          <w:iCs/>
        </w:rPr>
        <w:t xml:space="preserve">Example: A country campaign / project needs $100k but raises $150k. The $50k not used within the year on other country campaigns / projects goes to the PRI General Fund to support global </w:t>
      </w:r>
      <w:proofErr w:type="spellStart"/>
      <w:r w:rsidRPr="00A474FE">
        <w:rPr>
          <w:i/>
          <w:iCs/>
        </w:rPr>
        <w:t>FgrC</w:t>
      </w:r>
      <w:proofErr w:type="spellEnd"/>
      <w:r w:rsidRPr="00A474FE">
        <w:rPr>
          <w:i/>
          <w:iCs/>
        </w:rPr>
        <w:t xml:space="preserve"> research.</w:t>
      </w:r>
    </w:p>
    <w:p w14:paraId="14FC9519" w14:textId="77777777" w:rsidR="00A474FE" w:rsidRPr="00A474FE" w:rsidRDefault="00A474FE" w:rsidP="00A474FE">
      <w:r w:rsidRPr="00A474FE">
        <w:rPr>
          <w:b/>
          <w:bCs/>
        </w:rPr>
        <w:t>Phase 2:</w:t>
      </w:r>
      <w:r w:rsidRPr="00A474FE">
        <w:t xml:space="preserve"> people and </w:t>
      </w:r>
      <w:proofErr w:type="spellStart"/>
      <w:r w:rsidRPr="00A474FE">
        <w:t>organisations</w:t>
      </w:r>
      <w:proofErr w:type="spellEnd"/>
      <w:r w:rsidRPr="00A474FE">
        <w:t xml:space="preserve"> can </w:t>
      </w:r>
      <w:r w:rsidRPr="00A474FE">
        <w:rPr>
          <w:b/>
          <w:bCs/>
        </w:rPr>
        <w:t>apply to be listed</w:t>
      </w:r>
      <w:r w:rsidRPr="00A474FE">
        <w:t xml:space="preserve"> on our portal. They must </w:t>
      </w:r>
      <w:r w:rsidRPr="00A474FE">
        <w:rPr>
          <w:b/>
          <w:bCs/>
        </w:rPr>
        <w:t>meet Pink Ribbon International requirements</w:t>
      </w:r>
      <w:r w:rsidRPr="00A474FE">
        <w:t xml:space="preserve">. We may also </w:t>
      </w:r>
      <w:r w:rsidRPr="00A474FE">
        <w:rPr>
          <w:b/>
          <w:bCs/>
        </w:rPr>
        <w:t>invite additional third parties</w:t>
      </w:r>
      <w:r w:rsidRPr="00A474FE">
        <w:t xml:space="preserve"> that meet our standards.</w:t>
      </w:r>
    </w:p>
    <w:p w14:paraId="38F0937C" w14:textId="77777777" w:rsidR="00A474FE" w:rsidRPr="00A474FE" w:rsidRDefault="00A474FE" w:rsidP="00A474FE">
      <w:pPr>
        <w:rPr>
          <w:sz w:val="40"/>
          <w:szCs w:val="40"/>
        </w:rPr>
      </w:pPr>
      <w:r w:rsidRPr="00A474FE">
        <w:rPr>
          <w:b/>
          <w:bCs/>
          <w:sz w:val="40"/>
          <w:szCs w:val="40"/>
        </w:rPr>
        <w:t>Our Star System (What the ratings mean)</w:t>
      </w:r>
    </w:p>
    <w:p w14:paraId="0056C6C1" w14:textId="77777777" w:rsidR="00A474FE" w:rsidRPr="00A474FE" w:rsidRDefault="00A474FE" w:rsidP="00A474FE">
      <w:r w:rsidRPr="00A474FE">
        <w:rPr>
          <w:rFonts w:ascii="Segoe UI Symbol" w:hAnsi="Segoe UI Symbol" w:cs="Segoe UI Symbol"/>
          <w:b/>
          <w:bCs/>
        </w:rPr>
        <w:t>★</w:t>
      </w:r>
      <w:r w:rsidRPr="00A474FE">
        <w:rPr>
          <w:b/>
          <w:bCs/>
        </w:rPr>
        <w:t xml:space="preserve"> 1 Star — Country Campaign (local control)</w:t>
      </w:r>
    </w:p>
    <w:p w14:paraId="1C139143" w14:textId="77777777" w:rsidR="00A474FE" w:rsidRPr="00A474FE" w:rsidRDefault="00A474FE" w:rsidP="00A474FE">
      <w:pPr>
        <w:numPr>
          <w:ilvl w:val="0"/>
          <w:numId w:val="4"/>
        </w:numPr>
      </w:pPr>
      <w:r w:rsidRPr="00A474FE">
        <w:t xml:space="preserve">Run and audited locally by the country </w:t>
      </w:r>
      <w:proofErr w:type="spellStart"/>
      <w:r w:rsidRPr="00A474FE">
        <w:t>organisation</w:t>
      </w:r>
      <w:proofErr w:type="spellEnd"/>
      <w:r w:rsidRPr="00A474FE">
        <w:t>.</w:t>
      </w:r>
    </w:p>
    <w:p w14:paraId="35B88531" w14:textId="77777777" w:rsidR="00A474FE" w:rsidRPr="00A474FE" w:rsidRDefault="00A474FE" w:rsidP="00A474FE">
      <w:pPr>
        <w:numPr>
          <w:ilvl w:val="0"/>
          <w:numId w:val="4"/>
        </w:numPr>
      </w:pPr>
      <w:r w:rsidRPr="00A474FE">
        <w:t>The country team controls how funds are spent.</w:t>
      </w:r>
    </w:p>
    <w:p w14:paraId="02DA8677" w14:textId="77777777" w:rsidR="00A474FE" w:rsidRPr="00A474FE" w:rsidRDefault="00A474FE" w:rsidP="00A474FE">
      <w:pPr>
        <w:numPr>
          <w:ilvl w:val="0"/>
          <w:numId w:val="4"/>
        </w:numPr>
      </w:pPr>
      <w:r w:rsidRPr="00A474FE">
        <w:t>PRI lists and promotes the campaign but does not run or audit it directly.</w:t>
      </w:r>
    </w:p>
    <w:p w14:paraId="146538A8" w14:textId="77777777" w:rsidR="00A474FE" w:rsidRPr="00A474FE" w:rsidRDefault="00A474FE" w:rsidP="00A474FE">
      <w:r w:rsidRPr="00A474FE">
        <w:rPr>
          <w:rFonts w:ascii="Segoe UI Symbol" w:hAnsi="Segoe UI Symbol" w:cs="Segoe UI Symbol"/>
          <w:b/>
          <w:bCs/>
        </w:rPr>
        <w:t>★★</w:t>
      </w:r>
      <w:r w:rsidRPr="00A474FE">
        <w:rPr>
          <w:b/>
          <w:bCs/>
        </w:rPr>
        <w:t xml:space="preserve"> 2 Star — Country Campaign (PRI checked annually)</w:t>
      </w:r>
    </w:p>
    <w:p w14:paraId="0A3B4C12" w14:textId="77777777" w:rsidR="00A474FE" w:rsidRPr="00A474FE" w:rsidRDefault="00A474FE" w:rsidP="00A474FE">
      <w:pPr>
        <w:numPr>
          <w:ilvl w:val="0"/>
          <w:numId w:val="5"/>
        </w:numPr>
      </w:pPr>
      <w:r w:rsidRPr="00A474FE">
        <w:t>PRI performs an annual check for eligibility and basic standards.</w:t>
      </w:r>
    </w:p>
    <w:p w14:paraId="1FE1FA26" w14:textId="77777777" w:rsidR="00A474FE" w:rsidRPr="00A474FE" w:rsidRDefault="00A474FE" w:rsidP="00A474FE">
      <w:pPr>
        <w:numPr>
          <w:ilvl w:val="0"/>
          <w:numId w:val="5"/>
        </w:numPr>
      </w:pPr>
      <w:r w:rsidRPr="00A474FE">
        <w:t>A country campaign may receive up to the amount it needs from the 85% program portion of funds it attracts.</w:t>
      </w:r>
    </w:p>
    <w:p w14:paraId="3B4652B4" w14:textId="77777777" w:rsidR="00A474FE" w:rsidRPr="00A474FE" w:rsidRDefault="00A474FE" w:rsidP="00A474FE">
      <w:pPr>
        <w:numPr>
          <w:ilvl w:val="0"/>
          <w:numId w:val="5"/>
        </w:numPr>
      </w:pPr>
      <w:r w:rsidRPr="00A474FE">
        <w:t xml:space="preserve">If a campaign raises more than it needs within the financial year, the unused part of its 85% moves to the </w:t>
      </w:r>
      <w:r w:rsidRPr="00A474FE">
        <w:rPr>
          <w:b/>
          <w:bCs/>
        </w:rPr>
        <w:t>PRI General Fund</w:t>
      </w:r>
      <w:r w:rsidRPr="00A474FE">
        <w:t xml:space="preserve"> to support </w:t>
      </w:r>
      <w:r w:rsidRPr="00A474FE">
        <w:rPr>
          <w:b/>
          <w:bCs/>
        </w:rPr>
        <w:t xml:space="preserve">global </w:t>
      </w:r>
      <w:proofErr w:type="spellStart"/>
      <w:r w:rsidRPr="00A474FE">
        <w:rPr>
          <w:b/>
          <w:bCs/>
        </w:rPr>
        <w:t>FgrC</w:t>
      </w:r>
      <w:proofErr w:type="spellEnd"/>
      <w:r w:rsidRPr="00A474FE">
        <w:rPr>
          <w:b/>
          <w:bCs/>
        </w:rPr>
        <w:t xml:space="preserve"> research grants</w:t>
      </w:r>
      <w:r w:rsidRPr="00A474FE">
        <w:t>.</w:t>
      </w:r>
    </w:p>
    <w:p w14:paraId="13DFA77F" w14:textId="77777777" w:rsidR="00A474FE" w:rsidRPr="00A474FE" w:rsidRDefault="00A474FE" w:rsidP="00A474FE">
      <w:pPr>
        <w:numPr>
          <w:ilvl w:val="0"/>
          <w:numId w:val="5"/>
        </w:numPr>
      </w:pPr>
      <w:r w:rsidRPr="00A474FE">
        <w:t xml:space="preserve"> Up to </w:t>
      </w:r>
      <w:r w:rsidRPr="00A474FE">
        <w:rPr>
          <w:b/>
          <w:bCs/>
        </w:rPr>
        <w:t>15%</w:t>
      </w:r>
      <w:r w:rsidRPr="00A474FE">
        <w:t xml:space="preserve"> supports county campaigns operation costs with an amount </w:t>
      </w:r>
      <w:proofErr w:type="spellStart"/>
      <w:r w:rsidRPr="00A474FE">
        <w:t>taransferred</w:t>
      </w:r>
      <w:proofErr w:type="spellEnd"/>
      <w:r w:rsidRPr="00A474FE">
        <w:t xml:space="preserve"> to PRI’s essential operations, co-branding advertising and support. PRI lists and promotes the campaign but does not run the campaign.</w:t>
      </w:r>
    </w:p>
    <w:p w14:paraId="06298064" w14:textId="77777777" w:rsidR="00A474FE" w:rsidRPr="00A474FE" w:rsidRDefault="00A474FE" w:rsidP="00A474FE">
      <w:r w:rsidRPr="00A474FE">
        <w:rPr>
          <w:rFonts w:ascii="Segoe UI Symbol" w:hAnsi="Segoe UI Symbol" w:cs="Segoe UI Symbol"/>
          <w:b/>
          <w:bCs/>
        </w:rPr>
        <w:t>★★★</w:t>
      </w:r>
      <w:r w:rsidRPr="00A474FE">
        <w:rPr>
          <w:b/>
          <w:bCs/>
        </w:rPr>
        <w:t xml:space="preserve"> 3 Star — PRI Global Campaign</w:t>
      </w:r>
    </w:p>
    <w:p w14:paraId="012F3A39" w14:textId="77777777" w:rsidR="00A474FE" w:rsidRPr="00A474FE" w:rsidRDefault="00A474FE" w:rsidP="00A474FE">
      <w:pPr>
        <w:numPr>
          <w:ilvl w:val="0"/>
          <w:numId w:val="6"/>
        </w:numPr>
      </w:pPr>
      <w:r w:rsidRPr="00A474FE">
        <w:t xml:space="preserve">Led by PRI and </w:t>
      </w:r>
      <w:proofErr w:type="spellStart"/>
      <w:r w:rsidRPr="00A474FE">
        <w:t>prioritised</w:t>
      </w:r>
      <w:proofErr w:type="spellEnd"/>
      <w:r w:rsidRPr="00A474FE">
        <w:t xml:space="preserve"> by need and PRI research.</w:t>
      </w:r>
    </w:p>
    <w:p w14:paraId="0BD95189" w14:textId="77777777" w:rsidR="00A474FE" w:rsidRPr="00A474FE" w:rsidRDefault="00A474FE" w:rsidP="00A474FE">
      <w:pPr>
        <w:numPr>
          <w:ilvl w:val="0"/>
          <w:numId w:val="6"/>
        </w:numPr>
      </w:pPr>
      <w:r w:rsidRPr="00A474FE">
        <w:t xml:space="preserve">May include collaborations with </w:t>
      </w:r>
      <w:proofErr w:type="spellStart"/>
      <w:r w:rsidRPr="00A474FE">
        <w:t>recognised</w:t>
      </w:r>
      <w:proofErr w:type="spellEnd"/>
      <w:r w:rsidRPr="00A474FE">
        <w:t xml:space="preserve"> global </w:t>
      </w:r>
      <w:proofErr w:type="spellStart"/>
      <w:r w:rsidRPr="00A474FE">
        <w:t>organisations</w:t>
      </w:r>
      <w:proofErr w:type="spellEnd"/>
      <w:r w:rsidRPr="00A474FE">
        <w:t>.</w:t>
      </w:r>
    </w:p>
    <w:p w14:paraId="2B19AA6C" w14:textId="77777777" w:rsidR="00A474FE" w:rsidRPr="00A474FE" w:rsidRDefault="00A474FE" w:rsidP="00A474FE">
      <w:pPr>
        <w:numPr>
          <w:ilvl w:val="0"/>
          <w:numId w:val="6"/>
        </w:numPr>
      </w:pPr>
      <w:r w:rsidRPr="00A474FE">
        <w:lastRenderedPageBreak/>
        <w:t xml:space="preserve">PRI controls the budget and delivery; follows the </w:t>
      </w:r>
      <w:r w:rsidRPr="00A474FE">
        <w:rPr>
          <w:b/>
          <w:bCs/>
        </w:rPr>
        <w:t>85/15</w:t>
      </w:r>
      <w:r w:rsidRPr="00A474FE">
        <w:t xml:space="preserve"> standard; approved by </w:t>
      </w:r>
      <w:r w:rsidRPr="00A474FE">
        <w:rPr>
          <w:b/>
          <w:bCs/>
        </w:rPr>
        <w:t>EAG</w:t>
      </w:r>
      <w:r w:rsidRPr="00A474FE">
        <w:t>.</w:t>
      </w:r>
    </w:p>
    <w:p w14:paraId="12ABB250" w14:textId="77777777" w:rsidR="00A474FE" w:rsidRPr="00A474FE" w:rsidRDefault="00A474FE" w:rsidP="00A474FE">
      <w:r w:rsidRPr="00A474FE">
        <w:rPr>
          <w:rFonts w:ascii="Segoe UI Symbol" w:hAnsi="Segoe UI Symbol" w:cs="Segoe UI Symbol"/>
          <w:b/>
          <w:bCs/>
        </w:rPr>
        <w:t>★★★★</w:t>
      </w:r>
      <w:r w:rsidRPr="00A474FE">
        <w:rPr>
          <w:b/>
          <w:bCs/>
        </w:rPr>
        <w:t xml:space="preserve"> 4 Star — PRI In-House Research Project</w:t>
      </w:r>
    </w:p>
    <w:p w14:paraId="5FE46451" w14:textId="77777777" w:rsidR="00A474FE" w:rsidRPr="00A474FE" w:rsidRDefault="00A474FE" w:rsidP="00A474FE">
      <w:pPr>
        <w:numPr>
          <w:ilvl w:val="0"/>
          <w:numId w:val="7"/>
        </w:numPr>
      </w:pPr>
      <w:r w:rsidRPr="00A474FE">
        <w:t xml:space="preserve">Designed and run by PRI’s research team; approved by </w:t>
      </w:r>
      <w:r w:rsidRPr="00A474FE">
        <w:rPr>
          <w:b/>
          <w:bCs/>
        </w:rPr>
        <w:t>EAG</w:t>
      </w:r>
      <w:r w:rsidRPr="00A474FE">
        <w:t xml:space="preserve">; follows the </w:t>
      </w:r>
      <w:r w:rsidRPr="00A474FE">
        <w:rPr>
          <w:b/>
          <w:bCs/>
        </w:rPr>
        <w:t>85/15</w:t>
      </w:r>
      <w:r w:rsidRPr="00A474FE">
        <w:t xml:space="preserve"> standard; labelled </w:t>
      </w:r>
      <w:r w:rsidRPr="00A474FE">
        <w:rPr>
          <w:b/>
          <w:bCs/>
        </w:rPr>
        <w:t>“PRI.”</w:t>
      </w:r>
    </w:p>
    <w:p w14:paraId="57E950ED" w14:textId="77777777" w:rsidR="00A474FE" w:rsidRPr="00A474FE" w:rsidRDefault="00A474FE" w:rsidP="00A474FE">
      <w:r w:rsidRPr="00A474FE">
        <w:rPr>
          <w:i/>
          <w:iCs/>
        </w:rPr>
        <w:t>What “in-house research project” means:</w:t>
      </w:r>
    </w:p>
    <w:p w14:paraId="2CD27FFF" w14:textId="77777777" w:rsidR="00A474FE" w:rsidRPr="00A474FE" w:rsidRDefault="00A474FE" w:rsidP="00A474FE">
      <w:pPr>
        <w:numPr>
          <w:ilvl w:val="0"/>
          <w:numId w:val="8"/>
        </w:numPr>
      </w:pPr>
      <w:r w:rsidRPr="00A474FE">
        <w:t>PRI sets the research question, protocol, and budget.</w:t>
      </w:r>
    </w:p>
    <w:p w14:paraId="228522B2" w14:textId="77777777" w:rsidR="00A474FE" w:rsidRPr="00A474FE" w:rsidRDefault="00A474FE" w:rsidP="00A474FE">
      <w:pPr>
        <w:numPr>
          <w:ilvl w:val="0"/>
          <w:numId w:val="8"/>
        </w:numPr>
      </w:pPr>
      <w:r w:rsidRPr="00A474FE">
        <w:t>Ethics/IRB (independent review board) approval is obtained as required; data and results are managed under PRI policies.</w:t>
      </w:r>
    </w:p>
    <w:p w14:paraId="6890BDF6" w14:textId="77777777" w:rsidR="00A474FE" w:rsidRPr="00A474FE" w:rsidRDefault="00A474FE" w:rsidP="00A474FE">
      <w:pPr>
        <w:numPr>
          <w:ilvl w:val="0"/>
          <w:numId w:val="8"/>
        </w:numPr>
      </w:pPr>
      <w:r w:rsidRPr="00A474FE">
        <w:t>PRI may collaborate with external institutions, but leadership and accountability sit with PRI.</w:t>
      </w:r>
    </w:p>
    <w:p w14:paraId="13D46228" w14:textId="77777777" w:rsidR="00A474FE" w:rsidRPr="00A474FE" w:rsidRDefault="00A474FE" w:rsidP="00A474FE">
      <w:pPr>
        <w:rPr>
          <w:sz w:val="40"/>
          <w:szCs w:val="40"/>
        </w:rPr>
      </w:pPr>
      <w:r w:rsidRPr="00A474FE">
        <w:rPr>
          <w:b/>
          <w:bCs/>
          <w:sz w:val="40"/>
          <w:szCs w:val="40"/>
        </w:rPr>
        <w:t>Your Updates</w:t>
      </w:r>
    </w:p>
    <w:p w14:paraId="55C65F90" w14:textId="77777777" w:rsidR="00A474FE" w:rsidRPr="00A474FE" w:rsidRDefault="00A474FE" w:rsidP="00A474FE">
      <w:pPr>
        <w:numPr>
          <w:ilvl w:val="0"/>
          <w:numId w:val="9"/>
        </w:numPr>
      </w:pPr>
      <w:r w:rsidRPr="00A474FE">
        <w:t xml:space="preserve">Immediate </w:t>
      </w:r>
      <w:r w:rsidRPr="00A474FE">
        <w:rPr>
          <w:b/>
          <w:bCs/>
        </w:rPr>
        <w:t>receipt and thank-you</w:t>
      </w:r>
      <w:r w:rsidRPr="00A474FE">
        <w:t xml:space="preserve"> (Gift Aid where applicable)</w:t>
      </w:r>
    </w:p>
    <w:p w14:paraId="364CF8A5" w14:textId="77777777" w:rsidR="00A474FE" w:rsidRPr="00A474FE" w:rsidRDefault="00A474FE" w:rsidP="00A474FE">
      <w:pPr>
        <w:numPr>
          <w:ilvl w:val="0"/>
          <w:numId w:val="9"/>
        </w:numPr>
      </w:pPr>
      <w:r w:rsidRPr="00A474FE">
        <w:rPr>
          <w:b/>
          <w:bCs/>
        </w:rPr>
        <w:t>Quarterly impact</w:t>
      </w:r>
      <w:r w:rsidRPr="00A474FE">
        <w:t xml:space="preserve"> snapshots</w:t>
      </w:r>
    </w:p>
    <w:p w14:paraId="41EBA9E8" w14:textId="77777777" w:rsidR="00A474FE" w:rsidRPr="00A474FE" w:rsidRDefault="00A474FE" w:rsidP="00A474FE">
      <w:pPr>
        <w:numPr>
          <w:ilvl w:val="0"/>
          <w:numId w:val="9"/>
        </w:numPr>
      </w:pPr>
      <w:r w:rsidRPr="00A474FE">
        <w:rPr>
          <w:b/>
          <w:bCs/>
        </w:rPr>
        <w:t>Audited annual report</w:t>
      </w:r>
    </w:p>
    <w:p w14:paraId="08E20C91" w14:textId="77777777" w:rsidR="00A474FE" w:rsidRPr="00A474FE" w:rsidRDefault="00A474FE" w:rsidP="00A474FE">
      <w:pPr>
        <w:numPr>
          <w:ilvl w:val="0"/>
          <w:numId w:val="9"/>
        </w:numPr>
      </w:pPr>
      <w:r w:rsidRPr="00A474FE">
        <w:rPr>
          <w:b/>
          <w:bCs/>
        </w:rPr>
        <w:t>Project updates:</w:t>
      </w:r>
      <w:r w:rsidRPr="00A474FE">
        <w:t xml:space="preserve"> milestones (PRI projects), results/outputs (research), campaign reach (non-research)</w:t>
      </w:r>
    </w:p>
    <w:p w14:paraId="6308BDA3" w14:textId="77777777" w:rsidR="00A474FE" w:rsidRPr="00A474FE" w:rsidRDefault="00A474FE" w:rsidP="00A474FE">
      <w:pPr>
        <w:rPr>
          <w:sz w:val="40"/>
          <w:szCs w:val="40"/>
        </w:rPr>
      </w:pPr>
      <w:r w:rsidRPr="00A474FE">
        <w:rPr>
          <w:b/>
          <w:bCs/>
          <w:sz w:val="40"/>
          <w:szCs w:val="40"/>
        </w:rPr>
        <w:t>Our Promise</w:t>
      </w:r>
    </w:p>
    <w:p w14:paraId="6160016F" w14:textId="77777777" w:rsidR="00A474FE" w:rsidRPr="00A474FE" w:rsidRDefault="00A474FE" w:rsidP="00A474FE">
      <w:pPr>
        <w:numPr>
          <w:ilvl w:val="0"/>
          <w:numId w:val="10"/>
        </w:numPr>
      </w:pPr>
      <w:r w:rsidRPr="00A474FE">
        <w:rPr>
          <w:b/>
          <w:bCs/>
        </w:rPr>
        <w:t>Clarity</w:t>
      </w:r>
      <w:r w:rsidRPr="00A474FE">
        <w:t xml:space="preserve"> on where your gift goes and the difference it makes- An individual QR code for the country you choose for your donation</w:t>
      </w:r>
    </w:p>
    <w:p w14:paraId="3B23FCC1" w14:textId="77777777" w:rsidR="00A474FE" w:rsidRPr="00A474FE" w:rsidRDefault="00A474FE" w:rsidP="00A474FE">
      <w:pPr>
        <w:numPr>
          <w:ilvl w:val="0"/>
          <w:numId w:val="10"/>
        </w:numPr>
      </w:pPr>
      <w:r w:rsidRPr="00A474FE">
        <w:rPr>
          <w:b/>
          <w:bCs/>
        </w:rPr>
        <w:t>Responsible stewardship</w:t>
      </w:r>
      <w:r w:rsidRPr="00A474FE">
        <w:t xml:space="preserve"> and </w:t>
      </w:r>
      <w:r w:rsidRPr="00A474FE">
        <w:rPr>
          <w:b/>
          <w:bCs/>
        </w:rPr>
        <w:t>due diligence</w:t>
      </w:r>
    </w:p>
    <w:p w14:paraId="6EA4547F" w14:textId="77777777" w:rsidR="00A474FE" w:rsidRPr="00A474FE" w:rsidRDefault="00A474FE" w:rsidP="00A474FE">
      <w:pPr>
        <w:numPr>
          <w:ilvl w:val="0"/>
          <w:numId w:val="10"/>
        </w:numPr>
      </w:pPr>
      <w:r w:rsidRPr="00A474FE">
        <w:t xml:space="preserve">Respect for your </w:t>
      </w:r>
      <w:r w:rsidRPr="00A474FE">
        <w:rPr>
          <w:b/>
          <w:bCs/>
        </w:rPr>
        <w:t>preferences and privacy</w:t>
      </w:r>
    </w:p>
    <w:p w14:paraId="314A8AEB" w14:textId="77777777" w:rsidR="00A474FE" w:rsidRPr="00A474FE" w:rsidRDefault="00A474FE" w:rsidP="00A474FE">
      <w:r w:rsidRPr="00A474FE">
        <w:rPr>
          <w:b/>
          <w:bCs/>
        </w:rPr>
        <w:t>Questions?</w:t>
      </w:r>
      <w:r w:rsidRPr="00A474FE">
        <w:t xml:space="preserve"> </w:t>
      </w:r>
      <w:hyperlink r:id="rId6" w:history="1">
        <w:r w:rsidRPr="00A474FE">
          <w:rPr>
            <w:rStyle w:val="Hyperlink"/>
          </w:rPr>
          <w:t>Donations@pinkribbon.org</w:t>
        </w:r>
      </w:hyperlink>
      <w:r w:rsidRPr="00A474FE">
        <w:t xml:space="preserve"> or </w:t>
      </w:r>
      <w:hyperlink r:id="rId7" w:history="1">
        <w:r w:rsidRPr="00A474FE">
          <w:rPr>
            <w:rStyle w:val="Hyperlink"/>
          </w:rPr>
          <w:t>info@pinkribbon-international.org</w:t>
        </w:r>
      </w:hyperlink>
    </w:p>
    <w:p w14:paraId="13C019BD" w14:textId="77777777" w:rsidR="00A474FE" w:rsidRPr="00A474FE" w:rsidRDefault="00A474FE" w:rsidP="00A474FE">
      <w:r w:rsidRPr="00A474FE">
        <w:rPr>
          <w:b/>
          <w:bCs/>
        </w:rPr>
        <w:t>Tax Deductibility for International Donors</w:t>
      </w:r>
    </w:p>
    <w:p w14:paraId="4BA81C42" w14:textId="77777777" w:rsidR="00A474FE" w:rsidRPr="00A474FE" w:rsidRDefault="00A474FE" w:rsidP="00A474FE">
      <w:r w:rsidRPr="00A474FE">
        <w:t xml:space="preserve">Please note that donations made directly to our organization may </w:t>
      </w:r>
      <w:r w:rsidRPr="00A474FE">
        <w:rPr>
          <w:b/>
          <w:bCs/>
        </w:rPr>
        <w:t>not be tax-deductible in your home country</w:t>
      </w:r>
      <w:r w:rsidRPr="00A474FE">
        <w:t>.</w:t>
      </w:r>
    </w:p>
    <w:p w14:paraId="0B50FD73" w14:textId="77777777" w:rsidR="00A474FE" w:rsidRPr="00A474FE" w:rsidRDefault="00A474FE" w:rsidP="00A474FE">
      <w:pPr>
        <w:numPr>
          <w:ilvl w:val="0"/>
          <w:numId w:val="11"/>
        </w:numPr>
      </w:pPr>
      <w:r w:rsidRPr="00A474FE">
        <w:rPr>
          <w:b/>
          <w:bCs/>
        </w:rPr>
        <w:t>United States:</w:t>
      </w:r>
      <w:r w:rsidRPr="00A474FE">
        <w:t xml:space="preserve"> Donations to our U.S. 501(c)(3) charity are tax-deductible for U.S. taxpayers.</w:t>
      </w:r>
    </w:p>
    <w:p w14:paraId="3D17E6B7" w14:textId="77777777" w:rsidR="00A474FE" w:rsidRPr="00A474FE" w:rsidRDefault="00A474FE" w:rsidP="00A474FE">
      <w:pPr>
        <w:numPr>
          <w:ilvl w:val="0"/>
          <w:numId w:val="11"/>
        </w:numPr>
      </w:pPr>
      <w:r w:rsidRPr="00A474FE">
        <w:rPr>
          <w:b/>
          <w:bCs/>
        </w:rPr>
        <w:lastRenderedPageBreak/>
        <w:t>European Union:</w:t>
      </w:r>
      <w:r w:rsidRPr="00A474FE">
        <w:t xml:space="preserve"> Tax deductibility may apply for cross-border donations within the EU/EEA if made through approved partners such as </w:t>
      </w:r>
      <w:r w:rsidRPr="00A474FE">
        <w:rPr>
          <w:i/>
          <w:iCs/>
        </w:rPr>
        <w:t>Transnational Giving Europe</w:t>
      </w:r>
      <w:r w:rsidRPr="00A474FE">
        <w:t xml:space="preserve"> or local “Friends of” entities.</w:t>
      </w:r>
    </w:p>
    <w:p w14:paraId="58FACE53" w14:textId="77777777" w:rsidR="00A474FE" w:rsidRPr="00A474FE" w:rsidRDefault="00A474FE" w:rsidP="00A474FE">
      <w:pPr>
        <w:numPr>
          <w:ilvl w:val="0"/>
          <w:numId w:val="11"/>
        </w:numPr>
      </w:pPr>
      <w:r w:rsidRPr="00A474FE">
        <w:rPr>
          <w:b/>
          <w:bCs/>
        </w:rPr>
        <w:t>Asia:</w:t>
      </w:r>
      <w:r w:rsidRPr="00A474FE">
        <w:t xml:space="preserve"> Most countries, including China, India, Singapore, Hong Kong, and Japan, allow tax deductions only for donations made to locally registered charities. International donations are generally not deductible unless given through approved local partners (e.g., CAF, Give2Asia).</w:t>
      </w:r>
    </w:p>
    <w:p w14:paraId="28CA29CF" w14:textId="77777777" w:rsidR="00A474FE" w:rsidRPr="00A474FE" w:rsidRDefault="00A474FE" w:rsidP="00A474FE">
      <w:pPr>
        <w:numPr>
          <w:ilvl w:val="0"/>
          <w:numId w:val="11"/>
        </w:numPr>
      </w:pPr>
      <w:r w:rsidRPr="00A474FE">
        <w:rPr>
          <w:b/>
          <w:bCs/>
        </w:rPr>
        <w:t>Australia:</w:t>
      </w:r>
      <w:r w:rsidRPr="00A474FE">
        <w:t xml:space="preserve"> Only donations to organizations with Deductible Gift Recipient (DGR) status qualify for tax deductions. International donations are not deductible unless routed through an Australian “Friends of” charity or foundation.</w:t>
      </w:r>
    </w:p>
    <w:p w14:paraId="6EB2B400" w14:textId="77777777" w:rsidR="00A474FE" w:rsidRPr="00A474FE" w:rsidRDefault="00A474FE" w:rsidP="00A474FE">
      <w:r w:rsidRPr="00A474FE">
        <w:t xml:space="preserve">If you would like your donation to be </w:t>
      </w:r>
      <w:r w:rsidRPr="00A474FE">
        <w:rPr>
          <w:b/>
          <w:bCs/>
        </w:rPr>
        <w:t>tax-deductible in your country of residence</w:t>
      </w:r>
      <w:r w:rsidRPr="00A474FE">
        <w:t xml:space="preserve">, we recommend giving through a </w:t>
      </w:r>
      <w:r w:rsidRPr="00A474FE">
        <w:rPr>
          <w:b/>
          <w:bCs/>
        </w:rPr>
        <w:t>local partner organization, donor-advised fund (DAF), or “Friends of” charity</w:t>
      </w:r>
      <w:r w:rsidRPr="00A474FE">
        <w:t xml:space="preserve"> that is registered in your jurisdiction.</w:t>
      </w:r>
    </w:p>
    <w:p w14:paraId="58B060FB" w14:textId="77777777" w:rsidR="00A474FE" w:rsidRPr="00A474FE" w:rsidRDefault="00A474FE" w:rsidP="00A474FE">
      <w:r w:rsidRPr="00A474FE">
        <w:t>Thank you for all your support</w:t>
      </w:r>
    </w:p>
    <w:p w14:paraId="01855621" w14:textId="77777777" w:rsidR="00A474FE" w:rsidRPr="00A474FE" w:rsidRDefault="00A474FE" w:rsidP="00A474FE">
      <w:r w:rsidRPr="00A474FE">
        <w:rPr>
          <w:b/>
          <w:bCs/>
        </w:rPr>
        <w:t xml:space="preserve">The </w:t>
      </w:r>
      <w:proofErr w:type="spellStart"/>
      <w:r w:rsidRPr="00A474FE">
        <w:rPr>
          <w:b/>
          <w:bCs/>
        </w:rPr>
        <w:t>PinkRibbon</w:t>
      </w:r>
      <w:proofErr w:type="spellEnd"/>
      <w:r w:rsidRPr="00A474FE">
        <w:rPr>
          <w:b/>
          <w:bCs/>
        </w:rPr>
        <w:t xml:space="preserve"> International Team</w:t>
      </w:r>
    </w:p>
    <w:p w14:paraId="6B86BA1C" w14:textId="77777777" w:rsidR="004B4E93" w:rsidRDefault="004B4E93"/>
    <w:sectPr w:rsidR="004B4E93" w:rsidSect="00A474F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3666829">
    <w:abstractNumId w:val="0"/>
  </w:num>
  <w:num w:numId="2" w16cid:durableId="1930432354">
    <w:abstractNumId w:val="1"/>
  </w:num>
  <w:num w:numId="3" w16cid:durableId="1511799808">
    <w:abstractNumId w:val="2"/>
  </w:num>
  <w:num w:numId="4" w16cid:durableId="226575757">
    <w:abstractNumId w:val="3"/>
  </w:num>
  <w:num w:numId="5" w16cid:durableId="34814724">
    <w:abstractNumId w:val="4"/>
  </w:num>
  <w:num w:numId="6" w16cid:durableId="1397776395">
    <w:abstractNumId w:val="5"/>
  </w:num>
  <w:num w:numId="7" w16cid:durableId="1207258090">
    <w:abstractNumId w:val="6"/>
  </w:num>
  <w:num w:numId="8" w16cid:durableId="285897323">
    <w:abstractNumId w:val="7"/>
  </w:num>
  <w:num w:numId="9" w16cid:durableId="1335690686">
    <w:abstractNumId w:val="8"/>
  </w:num>
  <w:num w:numId="10" w16cid:durableId="182862966">
    <w:abstractNumId w:val="9"/>
  </w:num>
  <w:num w:numId="11" w16cid:durableId="744883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19"/>
    <w:rsid w:val="002E6238"/>
    <w:rsid w:val="004B4E93"/>
    <w:rsid w:val="00562CF4"/>
    <w:rsid w:val="009E2619"/>
    <w:rsid w:val="00A4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DB279-D60F-4955-8632-575CDE65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619"/>
    <w:rPr>
      <w:rFonts w:eastAsiaTheme="majorEastAsia" w:cstheme="majorBidi"/>
      <w:color w:val="272727" w:themeColor="text1" w:themeTint="D8"/>
    </w:rPr>
  </w:style>
  <w:style w:type="paragraph" w:styleId="Title">
    <w:name w:val="Title"/>
    <w:basedOn w:val="Normal"/>
    <w:next w:val="Normal"/>
    <w:link w:val="TitleChar"/>
    <w:uiPriority w:val="10"/>
    <w:qFormat/>
    <w:rsid w:val="009E2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619"/>
    <w:pPr>
      <w:spacing w:before="160"/>
      <w:jc w:val="center"/>
    </w:pPr>
    <w:rPr>
      <w:i/>
      <w:iCs/>
      <w:color w:val="404040" w:themeColor="text1" w:themeTint="BF"/>
    </w:rPr>
  </w:style>
  <w:style w:type="character" w:customStyle="1" w:styleId="QuoteChar">
    <w:name w:val="Quote Char"/>
    <w:basedOn w:val="DefaultParagraphFont"/>
    <w:link w:val="Quote"/>
    <w:uiPriority w:val="29"/>
    <w:rsid w:val="009E2619"/>
    <w:rPr>
      <w:i/>
      <w:iCs/>
      <w:color w:val="404040" w:themeColor="text1" w:themeTint="BF"/>
    </w:rPr>
  </w:style>
  <w:style w:type="paragraph" w:styleId="ListParagraph">
    <w:name w:val="List Paragraph"/>
    <w:basedOn w:val="Normal"/>
    <w:uiPriority w:val="34"/>
    <w:qFormat/>
    <w:rsid w:val="009E2619"/>
    <w:pPr>
      <w:ind w:left="720"/>
      <w:contextualSpacing/>
    </w:pPr>
  </w:style>
  <w:style w:type="character" w:styleId="IntenseEmphasis">
    <w:name w:val="Intense Emphasis"/>
    <w:basedOn w:val="DefaultParagraphFont"/>
    <w:uiPriority w:val="21"/>
    <w:qFormat/>
    <w:rsid w:val="009E2619"/>
    <w:rPr>
      <w:i/>
      <w:iCs/>
      <w:color w:val="0F4761" w:themeColor="accent1" w:themeShade="BF"/>
    </w:rPr>
  </w:style>
  <w:style w:type="paragraph" w:styleId="IntenseQuote">
    <w:name w:val="Intense Quote"/>
    <w:basedOn w:val="Normal"/>
    <w:next w:val="Normal"/>
    <w:link w:val="IntenseQuoteChar"/>
    <w:uiPriority w:val="30"/>
    <w:qFormat/>
    <w:rsid w:val="009E2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619"/>
    <w:rPr>
      <w:i/>
      <w:iCs/>
      <w:color w:val="0F4761" w:themeColor="accent1" w:themeShade="BF"/>
    </w:rPr>
  </w:style>
  <w:style w:type="character" w:styleId="IntenseReference">
    <w:name w:val="Intense Reference"/>
    <w:basedOn w:val="DefaultParagraphFont"/>
    <w:uiPriority w:val="32"/>
    <w:qFormat/>
    <w:rsid w:val="009E2619"/>
    <w:rPr>
      <w:b/>
      <w:bCs/>
      <w:smallCaps/>
      <w:color w:val="0F4761" w:themeColor="accent1" w:themeShade="BF"/>
      <w:spacing w:val="5"/>
    </w:rPr>
  </w:style>
  <w:style w:type="character" w:styleId="Hyperlink">
    <w:name w:val="Hyperlink"/>
    <w:basedOn w:val="DefaultParagraphFont"/>
    <w:uiPriority w:val="99"/>
    <w:unhideWhenUsed/>
    <w:rsid w:val="00A474FE"/>
    <w:rPr>
      <w:color w:val="467886" w:themeColor="hyperlink"/>
      <w:u w:val="single"/>
    </w:rPr>
  </w:style>
  <w:style w:type="character" w:styleId="UnresolvedMention">
    <w:name w:val="Unresolved Mention"/>
    <w:basedOn w:val="DefaultParagraphFont"/>
    <w:uiPriority w:val="99"/>
    <w:semiHidden/>
    <w:unhideWhenUsed/>
    <w:rsid w:val="00A4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inkribbon-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ations@pinkribb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polinasvistunenko</dc:creator>
  <cp:keywords/>
  <dc:description/>
  <cp:lastModifiedBy>polinasvistunenko</cp:lastModifiedBy>
  <cp:revision>2</cp:revision>
  <dcterms:created xsi:type="dcterms:W3CDTF">2025-09-12T07:07:00Z</dcterms:created>
  <dcterms:modified xsi:type="dcterms:W3CDTF">2025-09-12T07:09:00Z</dcterms:modified>
</cp:coreProperties>
</file>